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B775D7" w14:textId="77777777" w:rsidR="00FA7FDB" w:rsidRPr="005403BA" w:rsidRDefault="00000000">
      <w:pPr>
        <w:spacing w:after="120"/>
      </w:pPr>
      <w:r w:rsidRPr="005403BA">
        <w:rPr>
          <w:b/>
          <w:bCs/>
          <w:sz w:val="40"/>
          <w:szCs w:val="40"/>
        </w:rPr>
        <w:t>Where Should WA Invest Its Next Community Resource Centre?</w:t>
      </w:r>
    </w:p>
    <w:p w14:paraId="1F61FE8E" w14:textId="77777777" w:rsidR="00FA7FDB" w:rsidRPr="005403BA" w:rsidRDefault="00000000">
      <w:pPr>
        <w:spacing w:after="400"/>
      </w:pPr>
      <w:r w:rsidRPr="005403BA">
        <w:t>Facility-location optimization, gravity-model demand decay, equity-weighted objective</w:t>
      </w:r>
    </w:p>
    <w:p w14:paraId="0D6F5AC5" w14:textId="2953174B" w:rsidR="00FA7FDB" w:rsidRPr="005403BA" w:rsidRDefault="00000000">
      <w:pPr>
        <w:pStyle w:val="Heading1"/>
        <w:spacing w:before="320" w:after="160"/>
        <w:rPr>
          <w:color w:val="auto"/>
        </w:rPr>
      </w:pPr>
      <w:r w:rsidRPr="005403BA">
        <w:rPr>
          <w:color w:val="auto"/>
        </w:rPr>
        <w:t>Summary</w:t>
      </w:r>
    </w:p>
    <w:p w14:paraId="03F9DF22" w14:textId="36B383EA" w:rsidR="00FA7FDB" w:rsidRPr="005403BA" w:rsidRDefault="00000000">
      <w:pPr>
        <w:spacing w:after="160"/>
        <w:jc w:val="both"/>
      </w:pPr>
      <w:r w:rsidRPr="005403BA">
        <w:t xml:space="preserve">The Western Australian Department of Primary Industries and Regional Development (DPIRD) supports a network of 103 Community Resource </w:t>
      </w:r>
      <w:r w:rsidR="005403BA" w:rsidRPr="005403BA">
        <w:t>Centres</w:t>
      </w:r>
      <w:r w:rsidRPr="005403BA">
        <w:t xml:space="preserve"> (CRCs) across rural, remote and regional WA, the state's primary infrastructure for local engagement, volunteering and civic participation outside Perth. This project asks a concrete allocation question: given a limited budget for new facilities, which of WA's regional communities should be prioritized, and in what order?</w:t>
      </w:r>
    </w:p>
    <w:p w14:paraId="23F1CB3C" w14:textId="77777777" w:rsidR="00FA7FDB" w:rsidRPr="005403BA" w:rsidRDefault="00000000">
      <w:pPr>
        <w:spacing w:after="160"/>
        <w:jc w:val="both"/>
      </w:pPr>
      <w:r w:rsidRPr="005403BA">
        <w:t>Using real 2021 Census population and volunteering data, the ABS Socio-Economic Indexes for Areas (SEIFA), and the actual coordinates of all 103 existing CRCs, this project formulates the problem as a Maximal Covering Location Problem (MCLP), a mixed-integer program solved to full optimality, not a heuristic approximation, with an equity-weighted objective so that disadvantaged, under-engaged communities are prioritized over simply the largest towns.</w:t>
      </w:r>
    </w:p>
    <w:p w14:paraId="0E0E72E6" w14:textId="77777777" w:rsidR="00FA7FDB" w:rsidRPr="005403BA" w:rsidRDefault="00000000">
      <w:pPr>
        <w:spacing w:after="160"/>
        <w:jc w:val="both"/>
      </w:pPr>
      <w:r w:rsidRPr="005403BA">
        <w:t>The headline result: five new facilities (Geraldton, Esperance, Busselton Surrounds, Bayonet Head - Lower King, and Port Hedland) would lift equity-weighted coverage of regional WA from a 58.9% baseline to 87.3%, the highest-return Phase 1 investment. A further eleven facilities close the remaining gap entirely, reaching 100% coverage at sixteen new sites total, after which additional facilities add no further measurable benefit under this model.</w:t>
      </w:r>
    </w:p>
    <w:p w14:paraId="5B5A9A93" w14:textId="77777777" w:rsidR="00FA7FDB" w:rsidRPr="005403BA" w:rsidRDefault="00000000">
      <w:pPr>
        <w:pStyle w:val="Heading1"/>
        <w:spacing w:before="320" w:after="160"/>
        <w:rPr>
          <w:color w:val="auto"/>
        </w:rPr>
      </w:pPr>
      <w:r w:rsidRPr="005403BA">
        <w:rPr>
          <w:color w:val="auto"/>
        </w:rPr>
        <w:t>1. Business Context and Question</w:t>
      </w:r>
    </w:p>
    <w:p w14:paraId="3DE8DC02" w14:textId="77777777" w:rsidR="00FA7FDB" w:rsidRPr="005403BA" w:rsidRDefault="00000000">
      <w:pPr>
        <w:spacing w:after="160"/>
        <w:jc w:val="both"/>
      </w:pPr>
      <w:r w:rsidRPr="005403BA">
        <w:t>DPIRD's Community Resource Network already represents genuine, real-world infrastructure. This project treats it as such rather than inventing hypothetical candidate sites. The business question is: given limited outreach staff and budget, which regional WA communities should be prioritized for the next round of engagement investment, based on population, distance from existing service points, existing activity levels, and social disadvantage?</w:t>
      </w:r>
    </w:p>
    <w:p w14:paraId="294D1411" w14:textId="77777777" w:rsidR="00FA7FDB" w:rsidRPr="005403BA" w:rsidRDefault="00000000">
      <w:pPr>
        <w:spacing w:after="160"/>
        <w:jc w:val="both"/>
      </w:pPr>
      <w:r w:rsidRPr="005403BA">
        <w:t>This mirrors the structure of real public-sector capital planning decisions: a fixed network already exists, funding for expansion is limited, and the goal is to close the largest and most inequitable service gaps first, not simply to serve the most people in absolute terms.</w:t>
      </w:r>
    </w:p>
    <w:p w14:paraId="0D0793C4" w14:textId="77777777" w:rsidR="00FA7FDB" w:rsidRPr="005403BA" w:rsidRDefault="00000000">
      <w:pPr>
        <w:pStyle w:val="Heading1"/>
        <w:spacing w:before="320" w:after="160"/>
        <w:rPr>
          <w:color w:val="auto"/>
        </w:rPr>
      </w:pPr>
      <w:r w:rsidRPr="005403BA">
        <w:rPr>
          <w:color w:val="auto"/>
        </w:rPr>
        <w:t>2. Data Sources</w:t>
      </w:r>
    </w:p>
    <w:tbl>
      <w:tblPr>
        <w:tblStyle w:val="PlainTable3"/>
        <w:tblW w:w="10000" w:type="dxa"/>
        <w:tblLook w:val="04A0" w:firstRow="1" w:lastRow="0" w:firstColumn="1" w:lastColumn="0" w:noHBand="0" w:noVBand="1"/>
      </w:tblPr>
      <w:tblGrid>
        <w:gridCol w:w="3200"/>
        <w:gridCol w:w="4200"/>
        <w:gridCol w:w="2600"/>
      </w:tblGrid>
      <w:tr w:rsidR="005403BA" w:rsidRPr="005403BA" w14:paraId="4AE3DB5F" w14:textId="77777777" w:rsidTr="005403B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3200" w:type="dxa"/>
          </w:tcPr>
          <w:p w14:paraId="76BC7388" w14:textId="77777777" w:rsidR="00FA7FDB" w:rsidRPr="005403BA" w:rsidRDefault="00000000">
            <w:r w:rsidRPr="005403BA">
              <w:rPr>
                <w:sz w:val="18"/>
                <w:szCs w:val="18"/>
              </w:rPr>
              <w:t>Source</w:t>
            </w:r>
          </w:p>
        </w:tc>
        <w:tc>
          <w:tcPr>
            <w:tcW w:w="4200" w:type="dxa"/>
          </w:tcPr>
          <w:p w14:paraId="36A9247D" w14:textId="77777777" w:rsidR="00FA7FDB" w:rsidRPr="005403BA" w:rsidRDefault="00000000">
            <w:pPr>
              <w:cnfStyle w:val="100000000000" w:firstRow="1" w:lastRow="0" w:firstColumn="0" w:lastColumn="0" w:oddVBand="0" w:evenVBand="0" w:oddHBand="0" w:evenHBand="0" w:firstRowFirstColumn="0" w:firstRowLastColumn="0" w:lastRowFirstColumn="0" w:lastRowLastColumn="0"/>
            </w:pPr>
            <w:r w:rsidRPr="005403BA">
              <w:rPr>
                <w:sz w:val="18"/>
                <w:szCs w:val="18"/>
              </w:rPr>
              <w:t>What it provides</w:t>
            </w:r>
          </w:p>
        </w:tc>
        <w:tc>
          <w:tcPr>
            <w:tcW w:w="2600" w:type="dxa"/>
          </w:tcPr>
          <w:p w14:paraId="11E9A176" w14:textId="77777777" w:rsidR="00FA7FDB" w:rsidRPr="005403BA" w:rsidRDefault="00000000">
            <w:pPr>
              <w:cnfStyle w:val="100000000000" w:firstRow="1" w:lastRow="0" w:firstColumn="0" w:lastColumn="0" w:oddVBand="0" w:evenVBand="0" w:oddHBand="0" w:evenHBand="0" w:firstRowFirstColumn="0" w:firstRowLastColumn="0" w:lastRowFirstColumn="0" w:lastRowLastColumn="0"/>
            </w:pPr>
            <w:r w:rsidRPr="005403BA">
              <w:rPr>
                <w:sz w:val="18"/>
                <w:szCs w:val="18"/>
              </w:rPr>
              <w:t>Provider</w:t>
            </w:r>
          </w:p>
        </w:tc>
      </w:tr>
      <w:tr w:rsidR="005403BA" w:rsidRPr="005403BA" w14:paraId="6AED76FC" w14:textId="77777777" w:rsidTr="005403BA">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3200" w:type="dxa"/>
          </w:tcPr>
          <w:p w14:paraId="2263AB7F" w14:textId="77777777" w:rsidR="00FA7FDB" w:rsidRPr="005403BA" w:rsidRDefault="00000000">
            <w:r w:rsidRPr="005403BA">
              <w:rPr>
                <w:b w:val="0"/>
                <w:bCs w:val="0"/>
                <w:sz w:val="18"/>
                <w:szCs w:val="18"/>
              </w:rPr>
              <w:t>2021 Census, Table G01</w:t>
            </w:r>
          </w:p>
        </w:tc>
        <w:tc>
          <w:tcPr>
            <w:tcW w:w="4200" w:type="dxa"/>
          </w:tcPr>
          <w:p w14:paraId="64B6F4C3" w14:textId="77777777" w:rsidR="00FA7FDB" w:rsidRPr="005403BA" w:rsidRDefault="00000000">
            <w:pPr>
              <w:cnfStyle w:val="000000100000" w:firstRow="0" w:lastRow="0" w:firstColumn="0" w:lastColumn="0" w:oddVBand="0" w:evenVBand="0" w:oddHBand="1" w:evenHBand="0" w:firstRowFirstColumn="0" w:firstRowLastColumn="0" w:lastRowFirstColumn="0" w:lastRowLastColumn="0"/>
            </w:pPr>
            <w:r w:rsidRPr="005403BA">
              <w:rPr>
                <w:sz w:val="18"/>
                <w:szCs w:val="18"/>
              </w:rPr>
              <w:t>Population by SA2 (WA)</w:t>
            </w:r>
          </w:p>
        </w:tc>
        <w:tc>
          <w:tcPr>
            <w:tcW w:w="2600" w:type="dxa"/>
          </w:tcPr>
          <w:p w14:paraId="59D8BD92" w14:textId="77777777" w:rsidR="00FA7FDB" w:rsidRPr="005403BA" w:rsidRDefault="00000000">
            <w:pPr>
              <w:cnfStyle w:val="000000100000" w:firstRow="0" w:lastRow="0" w:firstColumn="0" w:lastColumn="0" w:oddVBand="0" w:evenVBand="0" w:oddHBand="1" w:evenHBand="0" w:firstRowFirstColumn="0" w:firstRowLastColumn="0" w:lastRowFirstColumn="0" w:lastRowLastColumn="0"/>
            </w:pPr>
            <w:r w:rsidRPr="005403BA">
              <w:rPr>
                <w:sz w:val="18"/>
                <w:szCs w:val="18"/>
              </w:rPr>
              <w:t>Australian Bureau of Statistics</w:t>
            </w:r>
          </w:p>
        </w:tc>
      </w:tr>
      <w:tr w:rsidR="005403BA" w:rsidRPr="005403BA" w14:paraId="7C6F515F" w14:textId="77777777" w:rsidTr="005403BA">
        <w:trPr>
          <w:trHeight w:val="681"/>
        </w:trPr>
        <w:tc>
          <w:tcPr>
            <w:cnfStyle w:val="001000000000" w:firstRow="0" w:lastRow="0" w:firstColumn="1" w:lastColumn="0" w:oddVBand="0" w:evenVBand="0" w:oddHBand="0" w:evenHBand="0" w:firstRowFirstColumn="0" w:firstRowLastColumn="0" w:lastRowFirstColumn="0" w:lastRowLastColumn="0"/>
            <w:tcW w:w="3200" w:type="dxa"/>
          </w:tcPr>
          <w:p w14:paraId="32FA7F6F" w14:textId="77777777" w:rsidR="00FA7FDB" w:rsidRPr="005403BA" w:rsidRDefault="00000000">
            <w:r w:rsidRPr="005403BA">
              <w:rPr>
                <w:b w:val="0"/>
                <w:bCs w:val="0"/>
                <w:sz w:val="18"/>
                <w:szCs w:val="18"/>
              </w:rPr>
              <w:t>2021 Census, Table G23</w:t>
            </w:r>
          </w:p>
        </w:tc>
        <w:tc>
          <w:tcPr>
            <w:tcW w:w="4200" w:type="dxa"/>
          </w:tcPr>
          <w:p w14:paraId="4EF78FBA" w14:textId="77777777" w:rsidR="00FA7FDB" w:rsidRPr="005403BA" w:rsidRDefault="00000000">
            <w:pPr>
              <w:cnfStyle w:val="000000000000" w:firstRow="0" w:lastRow="0" w:firstColumn="0" w:lastColumn="0" w:oddVBand="0" w:evenVBand="0" w:oddHBand="0" w:evenHBand="0" w:firstRowFirstColumn="0" w:firstRowLastColumn="0" w:lastRowFirstColumn="0" w:lastRowLastColumn="0"/>
            </w:pPr>
            <w:r w:rsidRPr="005403BA">
              <w:rPr>
                <w:sz w:val="18"/>
                <w:szCs w:val="18"/>
              </w:rPr>
              <w:t>Voluntary work rate by SA2, used as a proxy for existing engagement</w:t>
            </w:r>
          </w:p>
        </w:tc>
        <w:tc>
          <w:tcPr>
            <w:tcW w:w="2600" w:type="dxa"/>
          </w:tcPr>
          <w:p w14:paraId="0A51BA93" w14:textId="77777777" w:rsidR="00FA7FDB" w:rsidRPr="005403BA" w:rsidRDefault="00000000">
            <w:pPr>
              <w:cnfStyle w:val="000000000000" w:firstRow="0" w:lastRow="0" w:firstColumn="0" w:lastColumn="0" w:oddVBand="0" w:evenVBand="0" w:oddHBand="0" w:evenHBand="0" w:firstRowFirstColumn="0" w:firstRowLastColumn="0" w:lastRowFirstColumn="0" w:lastRowLastColumn="0"/>
            </w:pPr>
            <w:r w:rsidRPr="005403BA">
              <w:rPr>
                <w:sz w:val="18"/>
                <w:szCs w:val="18"/>
              </w:rPr>
              <w:t>Australian Bureau of Statistics</w:t>
            </w:r>
          </w:p>
        </w:tc>
      </w:tr>
      <w:tr w:rsidR="005403BA" w:rsidRPr="005403BA" w14:paraId="0DFFE750" w14:textId="77777777" w:rsidTr="005403BA">
        <w:trPr>
          <w:cnfStyle w:val="000000100000" w:firstRow="0" w:lastRow="0" w:firstColumn="0" w:lastColumn="0" w:oddVBand="0" w:evenVBand="0" w:oddHBand="1" w:evenHBand="0" w:firstRowFirstColumn="0" w:firstRowLastColumn="0" w:lastRowFirstColumn="0" w:lastRowLastColumn="0"/>
          <w:trHeight w:val="703"/>
        </w:trPr>
        <w:tc>
          <w:tcPr>
            <w:cnfStyle w:val="001000000000" w:firstRow="0" w:lastRow="0" w:firstColumn="1" w:lastColumn="0" w:oddVBand="0" w:evenVBand="0" w:oddHBand="0" w:evenHBand="0" w:firstRowFirstColumn="0" w:firstRowLastColumn="0" w:lastRowFirstColumn="0" w:lastRowLastColumn="0"/>
            <w:tcW w:w="3200" w:type="dxa"/>
          </w:tcPr>
          <w:p w14:paraId="55919DA6" w14:textId="77777777" w:rsidR="00FA7FDB" w:rsidRPr="005403BA" w:rsidRDefault="00000000">
            <w:r w:rsidRPr="005403BA">
              <w:rPr>
                <w:b w:val="0"/>
                <w:bCs w:val="0"/>
                <w:sz w:val="18"/>
                <w:szCs w:val="18"/>
              </w:rPr>
              <w:t>SEIFA 2021, Index of Relative Socio-Economic Disadvantage (IRSD)</w:t>
            </w:r>
          </w:p>
        </w:tc>
        <w:tc>
          <w:tcPr>
            <w:tcW w:w="4200" w:type="dxa"/>
          </w:tcPr>
          <w:p w14:paraId="4E59D820" w14:textId="77777777" w:rsidR="00FA7FDB" w:rsidRPr="005403BA" w:rsidRDefault="00000000">
            <w:pPr>
              <w:cnfStyle w:val="000000100000" w:firstRow="0" w:lastRow="0" w:firstColumn="0" w:lastColumn="0" w:oddVBand="0" w:evenVBand="0" w:oddHBand="1" w:evenHBand="0" w:firstRowFirstColumn="0" w:firstRowLastColumn="0" w:lastRowFirstColumn="0" w:lastRowLastColumn="0"/>
            </w:pPr>
            <w:r w:rsidRPr="005403BA">
              <w:rPr>
                <w:sz w:val="18"/>
                <w:szCs w:val="18"/>
              </w:rPr>
              <w:t>Community-level disadvantage score, by SA2</w:t>
            </w:r>
          </w:p>
        </w:tc>
        <w:tc>
          <w:tcPr>
            <w:tcW w:w="2600" w:type="dxa"/>
          </w:tcPr>
          <w:p w14:paraId="67C50FE6" w14:textId="77777777" w:rsidR="00FA7FDB" w:rsidRPr="005403BA" w:rsidRDefault="00000000">
            <w:pPr>
              <w:cnfStyle w:val="000000100000" w:firstRow="0" w:lastRow="0" w:firstColumn="0" w:lastColumn="0" w:oddVBand="0" w:evenVBand="0" w:oddHBand="1" w:evenHBand="0" w:firstRowFirstColumn="0" w:firstRowLastColumn="0" w:lastRowFirstColumn="0" w:lastRowLastColumn="0"/>
            </w:pPr>
            <w:r w:rsidRPr="005403BA">
              <w:rPr>
                <w:sz w:val="18"/>
                <w:szCs w:val="18"/>
              </w:rPr>
              <w:t>Australian Bureau of Statistics</w:t>
            </w:r>
          </w:p>
        </w:tc>
      </w:tr>
      <w:tr w:rsidR="005403BA" w:rsidRPr="005403BA" w14:paraId="3E10521B" w14:textId="77777777" w:rsidTr="005403BA">
        <w:trPr>
          <w:trHeight w:val="703"/>
        </w:trPr>
        <w:tc>
          <w:tcPr>
            <w:cnfStyle w:val="001000000000" w:firstRow="0" w:lastRow="0" w:firstColumn="1" w:lastColumn="0" w:oddVBand="0" w:evenVBand="0" w:oddHBand="0" w:evenHBand="0" w:firstRowFirstColumn="0" w:firstRowLastColumn="0" w:lastRowFirstColumn="0" w:lastRowLastColumn="0"/>
            <w:tcW w:w="3200" w:type="dxa"/>
          </w:tcPr>
          <w:p w14:paraId="2D59AC19" w14:textId="77777777" w:rsidR="00FA7FDB" w:rsidRPr="005403BA" w:rsidRDefault="00000000">
            <w:r w:rsidRPr="005403BA">
              <w:rPr>
                <w:b w:val="0"/>
                <w:bCs w:val="0"/>
                <w:sz w:val="18"/>
                <w:szCs w:val="18"/>
              </w:rPr>
              <w:t>ASGS Edition 3 (2021), SA2 digital boundaries</w:t>
            </w:r>
          </w:p>
        </w:tc>
        <w:tc>
          <w:tcPr>
            <w:tcW w:w="4200" w:type="dxa"/>
          </w:tcPr>
          <w:p w14:paraId="642C1239" w14:textId="77777777" w:rsidR="00FA7FDB" w:rsidRPr="005403BA" w:rsidRDefault="00000000">
            <w:pPr>
              <w:cnfStyle w:val="000000000000" w:firstRow="0" w:lastRow="0" w:firstColumn="0" w:lastColumn="0" w:oddVBand="0" w:evenVBand="0" w:oddHBand="0" w:evenHBand="0" w:firstRowFirstColumn="0" w:firstRowLastColumn="0" w:lastRowFirstColumn="0" w:lastRowLastColumn="0"/>
            </w:pPr>
            <w:r w:rsidRPr="005403BA">
              <w:rPr>
                <w:sz w:val="18"/>
                <w:szCs w:val="18"/>
              </w:rPr>
              <w:t>Geographic boundaries and centroids for every SA2</w:t>
            </w:r>
          </w:p>
        </w:tc>
        <w:tc>
          <w:tcPr>
            <w:tcW w:w="2600" w:type="dxa"/>
          </w:tcPr>
          <w:p w14:paraId="09C3F811" w14:textId="77777777" w:rsidR="00FA7FDB" w:rsidRPr="005403BA" w:rsidRDefault="00000000">
            <w:pPr>
              <w:cnfStyle w:val="000000000000" w:firstRow="0" w:lastRow="0" w:firstColumn="0" w:lastColumn="0" w:oddVBand="0" w:evenVBand="0" w:oddHBand="0" w:evenHBand="0" w:firstRowFirstColumn="0" w:firstRowLastColumn="0" w:lastRowFirstColumn="0" w:lastRowLastColumn="0"/>
            </w:pPr>
            <w:r w:rsidRPr="005403BA">
              <w:rPr>
                <w:sz w:val="18"/>
                <w:szCs w:val="18"/>
              </w:rPr>
              <w:t>Australian Bureau of Statistics</w:t>
            </w:r>
          </w:p>
        </w:tc>
      </w:tr>
      <w:tr w:rsidR="005403BA" w:rsidRPr="005403BA" w14:paraId="64D1CDBB" w14:textId="77777777" w:rsidTr="005403BA">
        <w:trPr>
          <w:cnfStyle w:val="000000100000" w:firstRow="0" w:lastRow="0" w:firstColumn="0" w:lastColumn="0" w:oddVBand="0" w:evenVBand="0" w:oddHBand="1" w:evenHBand="0" w:firstRowFirstColumn="0" w:firstRowLastColumn="0" w:lastRowFirstColumn="0" w:lastRowLastColumn="0"/>
          <w:trHeight w:val="681"/>
        </w:trPr>
        <w:tc>
          <w:tcPr>
            <w:cnfStyle w:val="001000000000" w:firstRow="0" w:lastRow="0" w:firstColumn="1" w:lastColumn="0" w:oddVBand="0" w:evenVBand="0" w:oddHBand="0" w:evenHBand="0" w:firstRowFirstColumn="0" w:firstRowLastColumn="0" w:lastRowFirstColumn="0" w:lastRowLastColumn="0"/>
            <w:tcW w:w="3200" w:type="dxa"/>
          </w:tcPr>
          <w:p w14:paraId="132ABCEA" w14:textId="77777777" w:rsidR="00FA7FDB" w:rsidRPr="005403BA" w:rsidRDefault="00000000">
            <w:r w:rsidRPr="005403BA">
              <w:rPr>
                <w:b w:val="0"/>
                <w:bCs w:val="0"/>
                <w:sz w:val="18"/>
                <w:szCs w:val="18"/>
              </w:rPr>
              <w:t>Community Resource Centre (CRC) Information</w:t>
            </w:r>
          </w:p>
        </w:tc>
        <w:tc>
          <w:tcPr>
            <w:tcW w:w="4200" w:type="dxa"/>
          </w:tcPr>
          <w:p w14:paraId="699E0E15" w14:textId="77777777" w:rsidR="00FA7FDB" w:rsidRPr="005403BA" w:rsidRDefault="00000000">
            <w:pPr>
              <w:cnfStyle w:val="000000100000" w:firstRow="0" w:lastRow="0" w:firstColumn="0" w:lastColumn="0" w:oddVBand="0" w:evenVBand="0" w:oddHBand="1" w:evenHBand="0" w:firstRowFirstColumn="0" w:firstRowLastColumn="0" w:lastRowFirstColumn="0" w:lastRowLastColumn="0"/>
            </w:pPr>
            <w:r w:rsidRPr="005403BA">
              <w:rPr>
                <w:sz w:val="18"/>
                <w:szCs w:val="18"/>
              </w:rPr>
              <w:t>Location, region and type of all 103 real, currently operating CRCs</w:t>
            </w:r>
          </w:p>
        </w:tc>
        <w:tc>
          <w:tcPr>
            <w:tcW w:w="2600" w:type="dxa"/>
          </w:tcPr>
          <w:p w14:paraId="6F8F3ADB" w14:textId="77777777" w:rsidR="00FA7FDB" w:rsidRPr="005403BA" w:rsidRDefault="00000000">
            <w:pPr>
              <w:cnfStyle w:val="000000100000" w:firstRow="0" w:lastRow="0" w:firstColumn="0" w:lastColumn="0" w:oddVBand="0" w:evenVBand="0" w:oddHBand="1" w:evenHBand="0" w:firstRowFirstColumn="0" w:firstRowLastColumn="0" w:lastRowFirstColumn="0" w:lastRowLastColumn="0"/>
            </w:pPr>
            <w:r w:rsidRPr="005403BA">
              <w:rPr>
                <w:sz w:val="18"/>
                <w:szCs w:val="18"/>
              </w:rPr>
              <w:t>WA Dept. of Primary Industries and Regional Development</w:t>
            </w:r>
          </w:p>
        </w:tc>
      </w:tr>
    </w:tbl>
    <w:p w14:paraId="5FCE679B" w14:textId="77777777" w:rsidR="00FA7FDB" w:rsidRPr="005403BA" w:rsidRDefault="00FA7FDB">
      <w:pPr>
        <w:spacing w:after="200"/>
      </w:pPr>
    </w:p>
    <w:p w14:paraId="06B3102C" w14:textId="77777777" w:rsidR="005403BA" w:rsidRDefault="005403BA">
      <w:pPr>
        <w:pStyle w:val="Heading1"/>
        <w:spacing w:before="320" w:after="160"/>
        <w:rPr>
          <w:color w:val="auto"/>
        </w:rPr>
      </w:pPr>
    </w:p>
    <w:p w14:paraId="0C699C00" w14:textId="2FF936AB" w:rsidR="00FA7FDB" w:rsidRPr="005403BA" w:rsidRDefault="00000000">
      <w:pPr>
        <w:pStyle w:val="Heading1"/>
        <w:spacing w:before="320" w:after="160"/>
        <w:rPr>
          <w:color w:val="auto"/>
        </w:rPr>
      </w:pPr>
      <w:r w:rsidRPr="005403BA">
        <w:rPr>
          <w:color w:val="auto"/>
        </w:rPr>
        <w:lastRenderedPageBreak/>
        <w:t>3. Methodology</w:t>
      </w:r>
    </w:p>
    <w:p w14:paraId="4A9254B0" w14:textId="77777777" w:rsidR="00FA7FDB" w:rsidRPr="005403BA" w:rsidRDefault="00000000">
      <w:pPr>
        <w:spacing w:after="160"/>
        <w:jc w:val="both"/>
      </w:pPr>
      <w:r w:rsidRPr="005403BA">
        <w:t>This section walks through the model in the order it was actually built: what data fed each step, what math was used, and why each decision was made.</w:t>
      </w:r>
    </w:p>
    <w:p w14:paraId="6AC7AF9D" w14:textId="77777777" w:rsidR="00FA7FDB" w:rsidRPr="005403BA" w:rsidRDefault="00000000">
      <w:pPr>
        <w:pStyle w:val="Heading2"/>
        <w:spacing w:before="260" w:after="120"/>
        <w:rPr>
          <w:color w:val="auto"/>
        </w:rPr>
      </w:pPr>
      <w:r w:rsidRPr="005403BA">
        <w:rPr>
          <w:color w:val="auto"/>
        </w:rPr>
        <w:t>3.1 Step 1: Defining the demand points and candidate sites</w:t>
      </w:r>
    </w:p>
    <w:p w14:paraId="09A90569" w14:textId="77777777" w:rsidR="00FA7FDB" w:rsidRPr="005403BA" w:rsidRDefault="00000000">
      <w:pPr>
        <w:spacing w:after="80"/>
      </w:pPr>
      <w:r w:rsidRPr="005403BA">
        <w:rPr>
          <w:i/>
          <w:iCs/>
          <w:sz w:val="19"/>
          <w:szCs w:val="19"/>
        </w:rPr>
        <w:t>Data used: SA2 boundaries, Census population, the Greater Perth / Rest-of-WA classification.</w:t>
      </w:r>
    </w:p>
    <w:p w14:paraId="34414BDC" w14:textId="77777777" w:rsidR="00FA7FDB" w:rsidRPr="005403BA" w:rsidRDefault="00000000">
      <w:pPr>
        <w:spacing w:after="160"/>
        <w:jc w:val="both"/>
      </w:pPr>
      <w:r w:rsidRPr="005403BA">
        <w:t>WA has 267 SA2s in total. The first job was deciding which of those 267 actually represent communities that a regional engagement program would serve, and which don't belong in the analysis at all. Twenty-four turned out to be national parks, airports, industrial precincts, and two ABS administrative catch-all categories with no fixed population; ABS itself declines to publish a disadvantage score for most of these, since too few people live there for the statistic to be reliable. Excluding them removed only 0.33% of WA's population.</w:t>
      </w:r>
    </w:p>
    <w:p w14:paraId="48081209" w14:textId="77777777" w:rsidR="00FA7FDB" w:rsidRPr="005403BA" w:rsidRDefault="00000000">
      <w:pPr>
        <w:spacing w:after="160"/>
        <w:jc w:val="both"/>
      </w:pPr>
      <w:r w:rsidRPr="005403BA">
        <w:t>The remaining SA2s were then narrowed to the 76 classified as Rest of WA (outside Greater Perth), matching the CRC network's actual rural and regional mandate. The 103 existing CRCs were kept as fixed, already-open facilities at zero additional cost, and the 76 Rest-of-WA communities became both the demand points (who needs to be served) and the candidate sites (where a new facility could go).</w:t>
      </w:r>
    </w:p>
    <w:p w14:paraId="78A8B84F" w14:textId="77777777" w:rsidR="00FA7FDB" w:rsidRPr="005403BA" w:rsidRDefault="00000000">
      <w:pPr>
        <w:spacing w:before="80" w:after="40"/>
        <w:jc w:val="center"/>
      </w:pPr>
      <w:r w:rsidRPr="005403BA">
        <w:rPr>
          <w:noProof/>
        </w:rPr>
        <w:drawing>
          <wp:inline distT="0" distB="0" distL="0" distR="0" wp14:anchorId="50CF179D" wp14:editId="500C3E17">
            <wp:extent cx="4953000" cy="11715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biLevel thresh="75000"/>
                    </a:blip>
                    <a:srcRect/>
                    <a:stretch>
                      <a:fillRect/>
                    </a:stretch>
                  </pic:blipFill>
                  <pic:spPr bwMode="auto">
                    <a:xfrm>
                      <a:off x="0" y="0"/>
                      <a:ext cx="4953000" cy="1171575"/>
                    </a:xfrm>
                    <a:prstGeom prst="rect">
                      <a:avLst/>
                    </a:prstGeom>
                  </pic:spPr>
                </pic:pic>
              </a:graphicData>
            </a:graphic>
          </wp:inline>
        </w:drawing>
      </w:r>
    </w:p>
    <w:p w14:paraId="7BB3B51E" w14:textId="77777777" w:rsidR="00FA7FDB" w:rsidRPr="005403BA" w:rsidRDefault="00000000">
      <w:pPr>
        <w:spacing w:after="240"/>
        <w:jc w:val="center"/>
      </w:pPr>
      <w:r w:rsidRPr="005403BA">
        <w:rPr>
          <w:i/>
          <w:iCs/>
          <w:sz w:val="18"/>
          <w:szCs w:val="18"/>
        </w:rPr>
        <w:t>From 267 raw SA2s down to a 16-site recommendation, in four decisions.</w:t>
      </w:r>
    </w:p>
    <w:p w14:paraId="38383B02" w14:textId="77777777" w:rsidR="00FA7FDB" w:rsidRPr="005403BA" w:rsidRDefault="00000000">
      <w:pPr>
        <w:pStyle w:val="Heading2"/>
        <w:spacing w:before="260" w:after="120"/>
        <w:rPr>
          <w:color w:val="auto"/>
        </w:rPr>
      </w:pPr>
      <w:r w:rsidRPr="005403BA">
        <w:rPr>
          <w:color w:val="auto"/>
        </w:rPr>
        <w:t>3.2 Step 2: Measuring distance, and testing the gravity-model assumption before trusting it</w:t>
      </w:r>
    </w:p>
    <w:p w14:paraId="603C7FFC" w14:textId="77777777" w:rsidR="00FA7FDB" w:rsidRPr="005403BA" w:rsidRDefault="00000000">
      <w:pPr>
        <w:spacing w:after="80"/>
      </w:pPr>
      <w:r w:rsidRPr="005403BA">
        <w:rPr>
          <w:i/>
          <w:iCs/>
          <w:sz w:val="19"/>
          <w:szCs w:val="19"/>
        </w:rPr>
        <w:t>Data used: SA2 centroids, CRC coordinates, Census volunteer rate.  Math used: haversine great-circle distance, Pearson correlation.</w:t>
      </w:r>
    </w:p>
    <w:p w14:paraId="0C06D299" w14:textId="77777777" w:rsidR="00FA7FDB" w:rsidRPr="005403BA" w:rsidRDefault="00000000">
      <w:pPr>
        <w:spacing w:after="160"/>
        <w:jc w:val="both"/>
      </w:pPr>
      <w:r w:rsidRPr="005403BA">
        <w:t>Distance between every community and every CRC was computed as haversine (great-circle) distance between their coordinates, then scaled up by a circuity factor of 1.3. That factor exists because straight-line distance always understates real travel distance, since roads bend around rivers, ranges and property boundaries. A factor of 1.3 is a standard rural transport-geography approximation for the ratio of real road distance to straight-line distance, used here in place of a live routing API that this project's environment could not reach.</w:t>
      </w:r>
    </w:p>
    <w:p w14:paraId="7CC9E835" w14:textId="77777777" w:rsidR="00FA7FDB" w:rsidRPr="005403BA" w:rsidRDefault="00000000">
      <w:pPr>
        <w:spacing w:after="160"/>
        <w:jc w:val="both"/>
      </w:pPr>
      <w:r w:rsidRPr="005403BA">
        <w:t>Before relying on distance as a driver of the equity weighting, the assumption behind it was tested rather than simply assumed: is a community's distance from existing engagement infrastructure actually related to how much volunteering already happens there? The Pearson correlation between distance-to-nearest-CRC and Census volunteer rate came out at -0.45, a moderate negative relationship. In plain terms, communities farther from existing infrastructure do show measurably lower existing civic participation, and that result is what justified using distance-decay as a real driver of the model rather than a convenient assumption.</w:t>
      </w:r>
    </w:p>
    <w:p w14:paraId="68DE3509" w14:textId="77777777" w:rsidR="00FA7FDB" w:rsidRPr="005403BA" w:rsidRDefault="00000000">
      <w:pPr>
        <w:pStyle w:val="Heading2"/>
        <w:spacing w:before="260" w:after="120"/>
        <w:rPr>
          <w:color w:val="auto"/>
        </w:rPr>
      </w:pPr>
      <w:r w:rsidRPr="005403BA">
        <w:rPr>
          <w:color w:val="auto"/>
        </w:rPr>
        <w:t>3.3 Step 3: Correcting a real data problem in the location data</w:t>
      </w:r>
    </w:p>
    <w:p w14:paraId="2FA576CF" w14:textId="77777777" w:rsidR="00FA7FDB" w:rsidRPr="005403BA" w:rsidRDefault="00000000">
      <w:pPr>
        <w:spacing w:after="80"/>
      </w:pPr>
      <w:r w:rsidRPr="005403BA">
        <w:rPr>
          <w:i/>
          <w:iCs/>
          <w:sz w:val="19"/>
          <w:szCs w:val="19"/>
        </w:rPr>
        <w:t>Data used: SA2 boundaries (polygon shapes), CRC coordinates.  Math used: projected centroid calculation (EPSG:7845, GDA2020 Australian Albers).</w:t>
      </w:r>
    </w:p>
    <w:p w14:paraId="79CBA32F" w14:textId="77777777" w:rsidR="00FA7FDB" w:rsidRPr="005403BA" w:rsidRDefault="00000000">
      <w:pPr>
        <w:spacing w:after="160"/>
        <w:jc w:val="both"/>
      </w:pPr>
      <w:r w:rsidRPr="005403BA">
        <w:t>A community's location was originally represented by its SA2's geometric centroid: literally the middle point of its polygon shape. That works well for small, city-sized SA2s, but WA also has SA2s the size of small countries, and checking the results turned up a genuine problem: for these huge, sparsely populated shires, the geometric middle of the shape can sit over 100km from where people actually live, simply because the shape is so large and irregular that its center falls in empty land rather than near the town.</w:t>
      </w:r>
    </w:p>
    <w:p w14:paraId="144046ED" w14:textId="77777777" w:rsidR="00FA7FDB" w:rsidRPr="005403BA" w:rsidRDefault="00000000">
      <w:pPr>
        <w:spacing w:after="160"/>
        <w:jc w:val="both"/>
      </w:pPr>
      <w:r w:rsidRPr="005403BA">
        <w:t>Halls Creek is the clearest example, shown below. Its SA2 covers a large stretch of the Kimberley, and the geometric centroid of that shape lands 110km from the actual town of Halls Creek, and from the real CRC already operating there.</w:t>
      </w:r>
    </w:p>
    <w:p w14:paraId="00EDA787" w14:textId="77777777" w:rsidR="00FA7FDB" w:rsidRPr="005403BA" w:rsidRDefault="00000000">
      <w:pPr>
        <w:spacing w:before="80" w:after="40"/>
        <w:jc w:val="center"/>
      </w:pPr>
      <w:r w:rsidRPr="005403BA">
        <w:rPr>
          <w:noProof/>
        </w:rPr>
        <w:lastRenderedPageBreak/>
        <w:drawing>
          <wp:inline distT="0" distB="0" distL="0" distR="0" wp14:anchorId="5F4A3A40" wp14:editId="3DA98BA2">
            <wp:extent cx="3048000" cy="2667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048000" cy="2667000"/>
                    </a:xfrm>
                    <a:prstGeom prst="rect">
                      <a:avLst/>
                    </a:prstGeom>
                  </pic:spPr>
                </pic:pic>
              </a:graphicData>
            </a:graphic>
          </wp:inline>
        </w:drawing>
      </w:r>
    </w:p>
    <w:p w14:paraId="384086B6" w14:textId="77777777" w:rsidR="00FA7FDB" w:rsidRPr="005403BA" w:rsidRDefault="00000000">
      <w:pPr>
        <w:spacing w:after="240"/>
        <w:jc w:val="center"/>
      </w:pPr>
      <w:r w:rsidRPr="005403BA">
        <w:rPr>
          <w:i/>
          <w:iCs/>
          <w:sz w:val="18"/>
          <w:szCs w:val="18"/>
        </w:rPr>
        <w:t>Halls Creek's real SA2 shape: the geometric middle sits 110km from the actual town.</w:t>
      </w:r>
    </w:p>
    <w:p w14:paraId="1E7CD574" w14:textId="77777777" w:rsidR="00FA7FDB" w:rsidRPr="005403BA" w:rsidRDefault="00000000">
      <w:pPr>
        <w:spacing w:after="160"/>
        <w:jc w:val="both"/>
      </w:pPr>
      <w:r w:rsidRPr="005403BA">
        <w:t>The fix applied: wherever an SA2's name exactly matched a real CRC town, that SA2's location was corrected to the CRC's true coordinates, since the CRC's location is, by definition, where the community actually is. This corrected 22 of the 76 communities. For the remaining large or remote SA2s without an exact name match, rather than silently trust an uncorrected centroid, they were explicitly flagged (</w:t>
      </w:r>
      <w:proofErr w:type="spellStart"/>
      <w:r w:rsidRPr="005403BA">
        <w:t>large_remote_flag</w:t>
      </w:r>
      <w:proofErr w:type="spellEnd"/>
      <w:r w:rsidRPr="005403BA">
        <w:t>) as a known, visible limitation instead of a hidden one.</w:t>
      </w:r>
    </w:p>
    <w:p w14:paraId="36158035" w14:textId="77777777" w:rsidR="00FA7FDB" w:rsidRPr="005403BA" w:rsidRDefault="00000000">
      <w:pPr>
        <w:pStyle w:val="Heading2"/>
        <w:spacing w:before="260" w:after="120"/>
        <w:rPr>
          <w:color w:val="auto"/>
        </w:rPr>
      </w:pPr>
      <w:r w:rsidRPr="005403BA">
        <w:rPr>
          <w:color w:val="auto"/>
        </w:rPr>
        <w:t>3.4 Step 4: Building the equity-weighted demand score</w:t>
      </w:r>
    </w:p>
    <w:p w14:paraId="71E44C84" w14:textId="77777777" w:rsidR="00FA7FDB" w:rsidRPr="005403BA" w:rsidRDefault="00000000">
      <w:pPr>
        <w:spacing w:after="80"/>
      </w:pPr>
      <w:r w:rsidRPr="005403BA">
        <w:rPr>
          <w:i/>
          <w:iCs/>
          <w:sz w:val="19"/>
          <w:szCs w:val="19"/>
        </w:rPr>
        <w:t>Data used: SEIFA IRSD disadvantage score, Census volunteer rate, Census population.  Math used: min-max rescaling to a 1-3x range, simple averaging.</w:t>
      </w:r>
    </w:p>
    <w:p w14:paraId="5E5846EF" w14:textId="77777777" w:rsidR="00FA7FDB" w:rsidRPr="005403BA" w:rsidRDefault="00000000">
      <w:pPr>
        <w:spacing w:after="160"/>
        <w:jc w:val="both"/>
      </w:pPr>
      <w:r w:rsidRPr="005403BA">
        <w:t>Population alone is not a fair way to rank communities, since it would just point every recommendation at the biggest towns. Instead, each community's population is scaled by an equity multiplier built from two things: how disadvantaged it is (SEIFA IRSD, where a lower score means more disadvantaged) and how under-engaged it already is (Census volunteer rate, where a lower rate means less existing engagement). Each of those two signals is rescaled onto a 1 to 3x range and then averaged, so a highly disadvantaged, under-engaged community can end up counting for up to three times as much in the model as an equally-sized, affluent, already-engaged one. That is the mechanism that stops the model from simply chasing population.</w:t>
      </w:r>
    </w:p>
    <w:p w14:paraId="7BA616B6" w14:textId="77777777" w:rsidR="00FA7FDB" w:rsidRPr="005403BA" w:rsidRDefault="00000000">
      <w:pPr>
        <w:pStyle w:val="Heading2"/>
        <w:spacing w:before="260" w:after="120"/>
        <w:rPr>
          <w:color w:val="auto"/>
        </w:rPr>
      </w:pPr>
      <w:r w:rsidRPr="005403BA">
        <w:rPr>
          <w:color w:val="auto"/>
        </w:rPr>
        <w:t>3.5 Step 5: Formulating and solving the optimization model</w:t>
      </w:r>
    </w:p>
    <w:p w14:paraId="2DC246CB" w14:textId="77777777" w:rsidR="00FA7FDB" w:rsidRPr="005403BA" w:rsidRDefault="00000000">
      <w:pPr>
        <w:spacing w:after="80"/>
      </w:pPr>
      <w:r w:rsidRPr="005403BA">
        <w:rPr>
          <w:i/>
          <w:iCs/>
          <w:sz w:val="19"/>
          <w:szCs w:val="19"/>
        </w:rPr>
        <w:t>Data used: equity-weighted demand, distances, a 50km service radius.  Math used: Mixed-Integer Programming (Maximal Covering Location Problem), solved via the CBC solver.</w:t>
      </w:r>
    </w:p>
    <w:p w14:paraId="1122AB32" w14:textId="77777777" w:rsidR="00FA7FDB" w:rsidRPr="005403BA" w:rsidRDefault="00000000">
      <w:pPr>
        <w:spacing w:after="160"/>
        <w:jc w:val="both"/>
      </w:pPr>
      <w:r w:rsidRPr="005403BA">
        <w:t>With demand weights and distances in hand, the core allocation question becomes a Maximal Covering Location Problem: choose which candidate sites to open, within a fixed budget, to cover as much equity-weighted demand as possible within a 50km service radius, a standard practical catchment for a regional community facility. This was written as a Mixed-Integer Program:</w:t>
      </w:r>
    </w:p>
    <w:p w14:paraId="7A0E61A5" w14:textId="77777777" w:rsidR="00FA7FDB" w:rsidRPr="005403BA" w:rsidRDefault="00000000">
      <w:pPr>
        <w:spacing w:after="20"/>
      </w:pPr>
      <w:r w:rsidRPr="005403BA">
        <w:rPr>
          <w:rFonts w:ascii="Courier New" w:eastAsia="Courier New" w:hAnsi="Courier New" w:cs="Courier New"/>
          <w:sz w:val="19"/>
          <w:szCs w:val="19"/>
        </w:rPr>
        <w:t>maximize</w:t>
      </w:r>
    </w:p>
    <w:p w14:paraId="14C4F7E5" w14:textId="77777777" w:rsidR="00FA7FDB" w:rsidRPr="005403BA" w:rsidRDefault="00000000">
      <w:pPr>
        <w:spacing w:after="120"/>
      </w:pPr>
      <w:r w:rsidRPr="005403BA">
        <w:rPr>
          <w:rFonts w:ascii="Courier New" w:eastAsia="Courier New" w:hAnsi="Courier New" w:cs="Courier New"/>
          <w:sz w:val="19"/>
          <w:szCs w:val="19"/>
        </w:rPr>
        <w:t xml:space="preserve">    Σᵢ wᵢ · yᵢ</w:t>
      </w:r>
    </w:p>
    <w:p w14:paraId="6366D6E5" w14:textId="77777777" w:rsidR="00FA7FDB" w:rsidRPr="005403BA" w:rsidRDefault="00000000">
      <w:pPr>
        <w:spacing w:after="20"/>
      </w:pPr>
      <w:r w:rsidRPr="005403BA">
        <w:rPr>
          <w:rFonts w:ascii="Courier New" w:eastAsia="Courier New" w:hAnsi="Courier New" w:cs="Courier New"/>
          <w:sz w:val="19"/>
          <w:szCs w:val="19"/>
        </w:rPr>
        <w:t>subject to</w:t>
      </w:r>
    </w:p>
    <w:p w14:paraId="7B4EECB3" w14:textId="77777777" w:rsidR="00FA7FDB" w:rsidRPr="005403BA" w:rsidRDefault="00000000">
      <w:pPr>
        <w:spacing w:after="20"/>
      </w:pPr>
      <w:r w:rsidRPr="005403BA">
        <w:rPr>
          <w:rFonts w:ascii="Courier New" w:eastAsia="Courier New" w:hAnsi="Courier New" w:cs="Courier New"/>
          <w:sz w:val="19"/>
          <w:szCs w:val="19"/>
        </w:rPr>
        <w:t xml:space="preserve">    yᵢ ≤ covered0ᵢ + Σⱼ∈N(</w:t>
      </w:r>
      <w:proofErr w:type="spellStart"/>
      <w:r w:rsidRPr="005403BA">
        <w:rPr>
          <w:rFonts w:ascii="Courier New" w:eastAsia="Courier New" w:hAnsi="Courier New" w:cs="Courier New"/>
          <w:sz w:val="19"/>
          <w:szCs w:val="19"/>
        </w:rPr>
        <w:t>i</w:t>
      </w:r>
      <w:proofErr w:type="spellEnd"/>
      <w:r w:rsidRPr="005403BA">
        <w:rPr>
          <w:rFonts w:ascii="Courier New" w:eastAsia="Courier New" w:hAnsi="Courier New" w:cs="Courier New"/>
          <w:sz w:val="19"/>
          <w:szCs w:val="19"/>
        </w:rPr>
        <w:t xml:space="preserve">) xⱼ      for every community </w:t>
      </w:r>
      <w:proofErr w:type="spellStart"/>
      <w:r w:rsidRPr="005403BA">
        <w:rPr>
          <w:rFonts w:ascii="Courier New" w:eastAsia="Courier New" w:hAnsi="Courier New" w:cs="Courier New"/>
          <w:sz w:val="19"/>
          <w:szCs w:val="19"/>
        </w:rPr>
        <w:t>i</w:t>
      </w:r>
      <w:proofErr w:type="spellEnd"/>
    </w:p>
    <w:p w14:paraId="1DDB833E" w14:textId="77777777" w:rsidR="00FA7FDB" w:rsidRPr="005403BA" w:rsidRDefault="00000000">
      <w:pPr>
        <w:spacing w:after="20"/>
      </w:pPr>
      <w:r w:rsidRPr="005403BA">
        <w:rPr>
          <w:rFonts w:ascii="Courier New" w:eastAsia="Courier New" w:hAnsi="Courier New" w:cs="Courier New"/>
          <w:sz w:val="19"/>
          <w:szCs w:val="19"/>
        </w:rPr>
        <w:t xml:space="preserve">    Σⱼ xⱼ ≤ p</w:t>
      </w:r>
    </w:p>
    <w:p w14:paraId="0946B0E0" w14:textId="77777777" w:rsidR="00FA7FDB" w:rsidRPr="005403BA" w:rsidRDefault="00000000">
      <w:pPr>
        <w:spacing w:after="160"/>
      </w:pPr>
      <w:r w:rsidRPr="005403BA">
        <w:rPr>
          <w:rFonts w:ascii="Courier New" w:eastAsia="Courier New" w:hAnsi="Courier New" w:cs="Courier New"/>
          <w:sz w:val="19"/>
          <w:szCs w:val="19"/>
        </w:rPr>
        <w:t xml:space="preserve">    xⱼ, yᵢ ∈ {0, 1}</w:t>
      </w:r>
    </w:p>
    <w:p w14:paraId="77FC428F" w14:textId="77777777" w:rsidR="00FA7FDB" w:rsidRPr="005403BA" w:rsidRDefault="00000000">
      <w:pPr>
        <w:spacing w:after="160"/>
        <w:jc w:val="both"/>
      </w:pPr>
      <w:r w:rsidRPr="005403BA">
        <w:t xml:space="preserve">Here xⱼ = 1 if a new facility is opened at candidate site j, yᵢ = 1 if community </w:t>
      </w:r>
      <w:proofErr w:type="spellStart"/>
      <w:r w:rsidRPr="005403BA">
        <w:t>i</w:t>
      </w:r>
      <w:proofErr w:type="spellEnd"/>
      <w:r w:rsidRPr="005403BA">
        <w:t xml:space="preserve"> ends up within the 50km service radius of any open facility (existing or new), and p is the facility budget. A small secondary penalty on the number of open facilities was added to the objective purely to break ties in favor of opening fewer sites, since the solver would otherwise happily open extra, zero-benefit facilities whenever multiple equally-good solutions exist. The model was solved to proven global optimality, not an approximate or heuristic answer, using the open-source CBC solver via </w:t>
      </w:r>
      <w:proofErr w:type="spellStart"/>
      <w:r w:rsidRPr="005403BA">
        <w:t>PuLP</w:t>
      </w:r>
      <w:proofErr w:type="spellEnd"/>
      <w:r w:rsidRPr="005403BA">
        <w:t xml:space="preserve">, for every budget level from </w:t>
      </w:r>
      <w:r w:rsidRPr="005403BA">
        <w:lastRenderedPageBreak/>
        <w:t>0 to 25 new facilities. Each solve took under 0.1 seconds, reflecting the genuinely small scale of a 76-community, 103-facility problem.</w:t>
      </w:r>
    </w:p>
    <w:p w14:paraId="23926934" w14:textId="77777777" w:rsidR="00FA7FDB" w:rsidRPr="005403BA" w:rsidRDefault="00000000">
      <w:pPr>
        <w:pStyle w:val="Heading2"/>
        <w:spacing w:before="260" w:after="120"/>
        <w:rPr>
          <w:color w:val="auto"/>
        </w:rPr>
      </w:pPr>
      <w:r w:rsidRPr="005403BA">
        <w:rPr>
          <w:color w:val="auto"/>
        </w:rPr>
        <w:t>3.6 Step 6: Turning repeated solves into a funding decision</w:t>
      </w:r>
    </w:p>
    <w:p w14:paraId="42DAB01B" w14:textId="77777777" w:rsidR="00FA7FDB" w:rsidRPr="005403BA" w:rsidRDefault="00000000">
      <w:pPr>
        <w:spacing w:after="80"/>
      </w:pPr>
      <w:r w:rsidRPr="005403BA">
        <w:rPr>
          <w:i/>
          <w:iCs/>
          <w:sz w:val="19"/>
          <w:szCs w:val="19"/>
        </w:rPr>
        <w:t>Data used: the same model, solved 26 times, once for each budget from p = 0 to p = 25.</w:t>
      </w:r>
    </w:p>
    <w:p w14:paraId="5AA2C8D5" w14:textId="77777777" w:rsidR="00FA7FDB" w:rsidRPr="005403BA" w:rsidRDefault="00000000">
      <w:pPr>
        <w:spacing w:after="160"/>
        <w:jc w:val="both"/>
      </w:pPr>
      <w:r w:rsidRPr="005403BA">
        <w:t>Rather than solving for one arbitrary budget, the model was solved once for every possible budget from 0 to 25 new facilities, and the resulting coverage percentage was tracked at each step. That turns a single answer into a full trade-off curve: how much coverage each additional facility buys, and where the return starts to flatten out. That curve, shown in Section 4, is what actually supports a funding decision, rather than a single number taken in isolation.</w:t>
      </w:r>
    </w:p>
    <w:p w14:paraId="31FF8918" w14:textId="77777777" w:rsidR="00FA7FDB" w:rsidRPr="005403BA" w:rsidRDefault="00000000">
      <w:pPr>
        <w:pStyle w:val="Heading1"/>
        <w:spacing w:before="320" w:after="160"/>
        <w:rPr>
          <w:color w:val="auto"/>
        </w:rPr>
      </w:pPr>
      <w:r w:rsidRPr="005403BA">
        <w:rPr>
          <w:color w:val="auto"/>
        </w:rPr>
        <w:t>4. Results</w:t>
      </w:r>
    </w:p>
    <w:p w14:paraId="333B1EE8" w14:textId="77777777" w:rsidR="00FA7FDB" w:rsidRPr="005403BA" w:rsidRDefault="00000000">
      <w:pPr>
        <w:pStyle w:val="Heading2"/>
        <w:spacing w:before="260" w:after="120"/>
        <w:rPr>
          <w:color w:val="auto"/>
        </w:rPr>
      </w:pPr>
      <w:r w:rsidRPr="005403BA">
        <w:rPr>
          <w:color w:val="auto"/>
        </w:rPr>
        <w:t>4.1 Budget sensitivity</w:t>
      </w:r>
    </w:p>
    <w:p w14:paraId="7E1D852A" w14:textId="77777777" w:rsidR="00FA7FDB" w:rsidRPr="005403BA" w:rsidRDefault="00000000">
      <w:pPr>
        <w:spacing w:after="160"/>
        <w:jc w:val="both"/>
      </w:pPr>
      <w:r w:rsidRPr="005403BA">
        <w:t>The chart below shows equity-weighted demand coverage as a function of the number of new facilities funded. Coverage rises steeply for the first several facilities, then flattens: the classic diminishing-returns signature of a well-posed covering problem, and genuinely useful evidence for a funding decision.</w:t>
      </w:r>
    </w:p>
    <w:p w14:paraId="4D8AA91F" w14:textId="77777777" w:rsidR="00FA7FDB" w:rsidRPr="005403BA" w:rsidRDefault="00000000">
      <w:pPr>
        <w:spacing w:after="200"/>
        <w:jc w:val="center"/>
      </w:pPr>
      <w:r w:rsidRPr="005403BA">
        <w:rPr>
          <w:noProof/>
        </w:rPr>
        <w:drawing>
          <wp:inline distT="0" distB="0" distL="0" distR="0" wp14:anchorId="2C5E8C49" wp14:editId="42389C78">
            <wp:extent cx="4762500" cy="2981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981325"/>
                    </a:xfrm>
                    <a:prstGeom prst="rect">
                      <a:avLst/>
                    </a:prstGeom>
                  </pic:spPr>
                </pic:pic>
              </a:graphicData>
            </a:graphic>
          </wp:inline>
        </w:drawing>
      </w:r>
    </w:p>
    <w:p w14:paraId="5B86F6AE" w14:textId="77777777" w:rsidR="00FA7FDB" w:rsidRPr="005403BA" w:rsidRDefault="00000000">
      <w:pPr>
        <w:pStyle w:val="Heading2"/>
        <w:spacing w:before="260" w:after="120"/>
        <w:rPr>
          <w:color w:val="auto"/>
        </w:rPr>
      </w:pPr>
      <w:r w:rsidRPr="005403BA">
        <w:rPr>
          <w:color w:val="auto"/>
        </w:rPr>
        <w:t>4.2 Phase 1: Quick wins (5 new facilities, 58.9% to 87.3% coverage)</w:t>
      </w:r>
    </w:p>
    <w:tbl>
      <w:tblPr>
        <w:tblStyle w:val="PlainTable5"/>
        <w:tblW w:w="10000" w:type="dxa"/>
        <w:tblLook w:val="04A0" w:firstRow="1" w:lastRow="0" w:firstColumn="1" w:lastColumn="0" w:noHBand="0" w:noVBand="1"/>
      </w:tblPr>
      <w:tblGrid>
        <w:gridCol w:w="2600"/>
        <w:gridCol w:w="1600"/>
        <w:gridCol w:w="2200"/>
        <w:gridCol w:w="2200"/>
        <w:gridCol w:w="1400"/>
      </w:tblGrid>
      <w:tr w:rsidR="005403BA" w:rsidRPr="005403BA" w14:paraId="2AF374F6" w14:textId="77777777" w:rsidTr="005403BA">
        <w:trPr>
          <w:cnfStyle w:val="100000000000" w:firstRow="1" w:lastRow="0" w:firstColumn="0" w:lastColumn="0" w:oddVBand="0" w:evenVBand="0" w:oddHBand="0" w:evenHBand="0" w:firstRowFirstColumn="0" w:firstRowLastColumn="0" w:lastRowFirstColumn="0" w:lastRowLastColumn="0"/>
          <w:trHeight w:val="404"/>
        </w:trPr>
        <w:tc>
          <w:tcPr>
            <w:cnfStyle w:val="001000000100" w:firstRow="0" w:lastRow="0" w:firstColumn="1" w:lastColumn="0" w:oddVBand="0" w:evenVBand="0" w:oddHBand="0" w:evenHBand="0" w:firstRowFirstColumn="1" w:firstRowLastColumn="0" w:lastRowFirstColumn="0" w:lastRowLastColumn="0"/>
            <w:tcW w:w="2600" w:type="dxa"/>
          </w:tcPr>
          <w:p w14:paraId="63B26B0B" w14:textId="77777777" w:rsidR="00FA7FDB" w:rsidRPr="005403BA" w:rsidRDefault="00000000">
            <w:r w:rsidRPr="005403BA">
              <w:rPr>
                <w:b/>
                <w:bCs/>
                <w:sz w:val="18"/>
                <w:szCs w:val="18"/>
              </w:rPr>
              <w:t>Community</w:t>
            </w:r>
          </w:p>
        </w:tc>
        <w:tc>
          <w:tcPr>
            <w:tcW w:w="1600" w:type="dxa"/>
          </w:tcPr>
          <w:p w14:paraId="4EC16C2C" w14:textId="77777777" w:rsidR="00FA7FDB" w:rsidRPr="005403BA" w:rsidRDefault="00000000">
            <w:pPr>
              <w:cnfStyle w:val="100000000000" w:firstRow="1" w:lastRow="0" w:firstColumn="0" w:lastColumn="0" w:oddVBand="0" w:evenVBand="0" w:oddHBand="0" w:evenHBand="0" w:firstRowFirstColumn="0" w:firstRowLastColumn="0" w:lastRowFirstColumn="0" w:lastRowLastColumn="0"/>
            </w:pPr>
            <w:r w:rsidRPr="005403BA">
              <w:rPr>
                <w:b/>
                <w:bCs/>
                <w:sz w:val="18"/>
                <w:szCs w:val="18"/>
              </w:rPr>
              <w:t>Population</w:t>
            </w:r>
          </w:p>
        </w:tc>
        <w:tc>
          <w:tcPr>
            <w:tcW w:w="2200" w:type="dxa"/>
          </w:tcPr>
          <w:p w14:paraId="6D5FB264" w14:textId="77777777" w:rsidR="00FA7FDB" w:rsidRPr="005403BA" w:rsidRDefault="00000000">
            <w:pPr>
              <w:cnfStyle w:val="100000000000" w:firstRow="1" w:lastRow="0" w:firstColumn="0" w:lastColumn="0" w:oddVBand="0" w:evenVBand="0" w:oddHBand="0" w:evenHBand="0" w:firstRowFirstColumn="0" w:firstRowLastColumn="0" w:lastRowFirstColumn="0" w:lastRowLastColumn="0"/>
            </w:pPr>
            <w:r w:rsidRPr="005403BA">
              <w:rPr>
                <w:b/>
                <w:bCs/>
                <w:sz w:val="18"/>
                <w:szCs w:val="18"/>
              </w:rPr>
              <w:t>Dist. to nearest CRC (km)</w:t>
            </w:r>
          </w:p>
        </w:tc>
        <w:tc>
          <w:tcPr>
            <w:tcW w:w="2200" w:type="dxa"/>
          </w:tcPr>
          <w:p w14:paraId="0B4BA170" w14:textId="77777777" w:rsidR="00FA7FDB" w:rsidRPr="005403BA" w:rsidRDefault="00000000">
            <w:pPr>
              <w:cnfStyle w:val="100000000000" w:firstRow="1" w:lastRow="0" w:firstColumn="0" w:lastColumn="0" w:oddVBand="0" w:evenVBand="0" w:oddHBand="0" w:evenHBand="0" w:firstRowFirstColumn="0" w:firstRowLastColumn="0" w:lastRowFirstColumn="0" w:lastRowLastColumn="0"/>
            </w:pPr>
            <w:r w:rsidRPr="005403BA">
              <w:rPr>
                <w:b/>
                <w:bCs/>
                <w:sz w:val="18"/>
                <w:szCs w:val="18"/>
              </w:rPr>
              <w:t>Disadvantage decile</w:t>
            </w:r>
          </w:p>
        </w:tc>
        <w:tc>
          <w:tcPr>
            <w:tcW w:w="1400" w:type="dxa"/>
          </w:tcPr>
          <w:p w14:paraId="6F7D09F2" w14:textId="77777777" w:rsidR="00FA7FDB" w:rsidRPr="005403BA" w:rsidRDefault="00000000">
            <w:pPr>
              <w:cnfStyle w:val="100000000000" w:firstRow="1" w:lastRow="0" w:firstColumn="0" w:lastColumn="0" w:oddVBand="0" w:evenVBand="0" w:oddHBand="0" w:evenHBand="0" w:firstRowFirstColumn="0" w:firstRowLastColumn="0" w:lastRowFirstColumn="0" w:lastRowLastColumn="0"/>
            </w:pPr>
            <w:r w:rsidRPr="005403BA">
              <w:rPr>
                <w:b/>
                <w:bCs/>
                <w:sz w:val="18"/>
                <w:szCs w:val="18"/>
              </w:rPr>
              <w:t>Volunteer rate</w:t>
            </w:r>
          </w:p>
        </w:tc>
      </w:tr>
      <w:tr w:rsidR="005403BA" w:rsidRPr="005403BA" w14:paraId="1D986871" w14:textId="77777777" w:rsidTr="005403BA">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2600" w:type="dxa"/>
          </w:tcPr>
          <w:p w14:paraId="58DAD882" w14:textId="77777777" w:rsidR="00FA7FDB" w:rsidRPr="005403BA" w:rsidRDefault="00000000">
            <w:r w:rsidRPr="005403BA">
              <w:rPr>
                <w:sz w:val="18"/>
                <w:szCs w:val="18"/>
              </w:rPr>
              <w:t>Geraldton</w:t>
            </w:r>
          </w:p>
        </w:tc>
        <w:tc>
          <w:tcPr>
            <w:tcW w:w="1600" w:type="dxa"/>
          </w:tcPr>
          <w:p w14:paraId="5EB0D694" w14:textId="77777777" w:rsidR="00FA7FDB" w:rsidRPr="005403BA" w:rsidRDefault="00000000">
            <w:pPr>
              <w:cnfStyle w:val="000000100000" w:firstRow="0" w:lastRow="0" w:firstColumn="0" w:lastColumn="0" w:oddVBand="0" w:evenVBand="0" w:oddHBand="1" w:evenHBand="0" w:firstRowFirstColumn="0" w:firstRowLastColumn="0" w:lastRowFirstColumn="0" w:lastRowLastColumn="0"/>
            </w:pPr>
            <w:r w:rsidRPr="005403BA">
              <w:rPr>
                <w:sz w:val="18"/>
                <w:szCs w:val="18"/>
              </w:rPr>
              <w:t>11,888</w:t>
            </w:r>
          </w:p>
        </w:tc>
        <w:tc>
          <w:tcPr>
            <w:tcW w:w="2200" w:type="dxa"/>
          </w:tcPr>
          <w:p w14:paraId="4124E66C" w14:textId="77777777" w:rsidR="00FA7FDB" w:rsidRPr="005403BA" w:rsidRDefault="00000000">
            <w:pPr>
              <w:cnfStyle w:val="000000100000" w:firstRow="0" w:lastRow="0" w:firstColumn="0" w:lastColumn="0" w:oddVBand="0" w:evenVBand="0" w:oddHBand="1" w:evenHBand="0" w:firstRowFirstColumn="0" w:firstRowLastColumn="0" w:lastRowFirstColumn="0" w:lastRowLastColumn="0"/>
            </w:pPr>
            <w:r w:rsidRPr="005403BA">
              <w:rPr>
                <w:sz w:val="18"/>
                <w:szCs w:val="18"/>
              </w:rPr>
              <w:t>81</w:t>
            </w:r>
          </w:p>
        </w:tc>
        <w:tc>
          <w:tcPr>
            <w:tcW w:w="2200" w:type="dxa"/>
          </w:tcPr>
          <w:p w14:paraId="3FA8A456" w14:textId="77777777" w:rsidR="00FA7FDB" w:rsidRPr="005403BA" w:rsidRDefault="00000000">
            <w:pPr>
              <w:cnfStyle w:val="000000100000" w:firstRow="0" w:lastRow="0" w:firstColumn="0" w:lastColumn="0" w:oddVBand="0" w:evenVBand="0" w:oddHBand="1" w:evenHBand="0" w:firstRowFirstColumn="0" w:firstRowLastColumn="0" w:lastRowFirstColumn="0" w:lastRowLastColumn="0"/>
            </w:pPr>
            <w:r w:rsidRPr="005403BA">
              <w:rPr>
                <w:sz w:val="18"/>
                <w:szCs w:val="18"/>
              </w:rPr>
              <w:t>2 (high disadvantage)</w:t>
            </w:r>
          </w:p>
        </w:tc>
        <w:tc>
          <w:tcPr>
            <w:tcW w:w="1400" w:type="dxa"/>
          </w:tcPr>
          <w:p w14:paraId="43B54EAF" w14:textId="77777777" w:rsidR="00FA7FDB" w:rsidRPr="005403BA" w:rsidRDefault="00000000">
            <w:pPr>
              <w:cnfStyle w:val="000000100000" w:firstRow="0" w:lastRow="0" w:firstColumn="0" w:lastColumn="0" w:oddVBand="0" w:evenVBand="0" w:oddHBand="1" w:evenHBand="0" w:firstRowFirstColumn="0" w:firstRowLastColumn="0" w:lastRowFirstColumn="0" w:lastRowLastColumn="0"/>
            </w:pPr>
            <w:r w:rsidRPr="005403BA">
              <w:rPr>
                <w:sz w:val="18"/>
                <w:szCs w:val="18"/>
              </w:rPr>
              <w:t>15.6%</w:t>
            </w:r>
          </w:p>
        </w:tc>
      </w:tr>
      <w:tr w:rsidR="005403BA" w:rsidRPr="005403BA" w14:paraId="615FB196" w14:textId="77777777" w:rsidTr="005403BA">
        <w:trPr>
          <w:trHeight w:val="404"/>
        </w:trPr>
        <w:tc>
          <w:tcPr>
            <w:cnfStyle w:val="001000000000" w:firstRow="0" w:lastRow="0" w:firstColumn="1" w:lastColumn="0" w:oddVBand="0" w:evenVBand="0" w:oddHBand="0" w:evenHBand="0" w:firstRowFirstColumn="0" w:firstRowLastColumn="0" w:lastRowFirstColumn="0" w:lastRowLastColumn="0"/>
            <w:tcW w:w="2600" w:type="dxa"/>
          </w:tcPr>
          <w:p w14:paraId="7AEB7ADC" w14:textId="77777777" w:rsidR="00FA7FDB" w:rsidRPr="005403BA" w:rsidRDefault="00000000">
            <w:r w:rsidRPr="005403BA">
              <w:rPr>
                <w:sz w:val="18"/>
                <w:szCs w:val="18"/>
              </w:rPr>
              <w:t>Esperance</w:t>
            </w:r>
          </w:p>
        </w:tc>
        <w:tc>
          <w:tcPr>
            <w:tcW w:w="1600" w:type="dxa"/>
          </w:tcPr>
          <w:p w14:paraId="36D53286" w14:textId="77777777" w:rsidR="00FA7FDB" w:rsidRPr="005403BA" w:rsidRDefault="00000000">
            <w:pPr>
              <w:cnfStyle w:val="000000000000" w:firstRow="0" w:lastRow="0" w:firstColumn="0" w:lastColumn="0" w:oddVBand="0" w:evenVBand="0" w:oddHBand="0" w:evenHBand="0" w:firstRowFirstColumn="0" w:firstRowLastColumn="0" w:lastRowFirstColumn="0" w:lastRowLastColumn="0"/>
            </w:pPr>
            <w:r w:rsidRPr="005403BA">
              <w:rPr>
                <w:sz w:val="18"/>
                <w:szCs w:val="18"/>
              </w:rPr>
              <w:t>12,003</w:t>
            </w:r>
          </w:p>
        </w:tc>
        <w:tc>
          <w:tcPr>
            <w:tcW w:w="2200" w:type="dxa"/>
          </w:tcPr>
          <w:p w14:paraId="2C000809" w14:textId="77777777" w:rsidR="00FA7FDB" w:rsidRPr="005403BA" w:rsidRDefault="00000000">
            <w:pPr>
              <w:cnfStyle w:val="000000000000" w:firstRow="0" w:lastRow="0" w:firstColumn="0" w:lastColumn="0" w:oddVBand="0" w:evenVBand="0" w:oddHBand="0" w:evenHBand="0" w:firstRowFirstColumn="0" w:firstRowLastColumn="0" w:lastRowFirstColumn="0" w:lastRowLastColumn="0"/>
            </w:pPr>
            <w:r w:rsidRPr="005403BA">
              <w:rPr>
                <w:sz w:val="18"/>
                <w:szCs w:val="18"/>
              </w:rPr>
              <w:t>209</w:t>
            </w:r>
          </w:p>
        </w:tc>
        <w:tc>
          <w:tcPr>
            <w:tcW w:w="2200" w:type="dxa"/>
          </w:tcPr>
          <w:p w14:paraId="18411471" w14:textId="77777777" w:rsidR="00FA7FDB" w:rsidRPr="005403BA" w:rsidRDefault="00000000">
            <w:pPr>
              <w:cnfStyle w:val="000000000000" w:firstRow="0" w:lastRow="0" w:firstColumn="0" w:lastColumn="0" w:oddVBand="0" w:evenVBand="0" w:oddHBand="0" w:evenHBand="0" w:firstRowFirstColumn="0" w:firstRowLastColumn="0" w:lastRowFirstColumn="0" w:lastRowLastColumn="0"/>
            </w:pPr>
            <w:r w:rsidRPr="005403BA">
              <w:rPr>
                <w:sz w:val="18"/>
                <w:szCs w:val="18"/>
              </w:rPr>
              <w:t>4</w:t>
            </w:r>
          </w:p>
        </w:tc>
        <w:tc>
          <w:tcPr>
            <w:tcW w:w="1400" w:type="dxa"/>
          </w:tcPr>
          <w:p w14:paraId="13B9FE5B" w14:textId="77777777" w:rsidR="00FA7FDB" w:rsidRPr="005403BA" w:rsidRDefault="00000000">
            <w:pPr>
              <w:cnfStyle w:val="000000000000" w:firstRow="0" w:lastRow="0" w:firstColumn="0" w:lastColumn="0" w:oddVBand="0" w:evenVBand="0" w:oddHBand="0" w:evenHBand="0" w:firstRowFirstColumn="0" w:firstRowLastColumn="0" w:lastRowFirstColumn="0" w:lastRowLastColumn="0"/>
            </w:pPr>
            <w:r w:rsidRPr="005403BA">
              <w:rPr>
                <w:sz w:val="18"/>
                <w:szCs w:val="18"/>
              </w:rPr>
              <w:t>23.3%</w:t>
            </w:r>
          </w:p>
        </w:tc>
      </w:tr>
      <w:tr w:rsidR="005403BA" w:rsidRPr="005403BA" w14:paraId="764C8D06" w14:textId="77777777" w:rsidTr="005403BA">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2600" w:type="dxa"/>
          </w:tcPr>
          <w:p w14:paraId="2F2CC11A" w14:textId="77777777" w:rsidR="00FA7FDB" w:rsidRPr="005403BA" w:rsidRDefault="00000000">
            <w:r w:rsidRPr="005403BA">
              <w:rPr>
                <w:sz w:val="18"/>
                <w:szCs w:val="18"/>
              </w:rPr>
              <w:t>Busselton Surrounds</w:t>
            </w:r>
          </w:p>
        </w:tc>
        <w:tc>
          <w:tcPr>
            <w:tcW w:w="1600" w:type="dxa"/>
          </w:tcPr>
          <w:p w14:paraId="62F8D4B7" w14:textId="77777777" w:rsidR="00FA7FDB" w:rsidRPr="005403BA" w:rsidRDefault="00000000">
            <w:pPr>
              <w:cnfStyle w:val="000000100000" w:firstRow="0" w:lastRow="0" w:firstColumn="0" w:lastColumn="0" w:oddVBand="0" w:evenVBand="0" w:oddHBand="1" w:evenHBand="0" w:firstRowFirstColumn="0" w:firstRowLastColumn="0" w:lastRowFirstColumn="0" w:lastRowLastColumn="0"/>
            </w:pPr>
            <w:r w:rsidRPr="005403BA">
              <w:rPr>
                <w:sz w:val="18"/>
                <w:szCs w:val="18"/>
              </w:rPr>
              <w:t>11,900</w:t>
            </w:r>
          </w:p>
        </w:tc>
        <w:tc>
          <w:tcPr>
            <w:tcW w:w="2200" w:type="dxa"/>
          </w:tcPr>
          <w:p w14:paraId="7F055B40" w14:textId="77777777" w:rsidR="00FA7FDB" w:rsidRPr="005403BA" w:rsidRDefault="00000000">
            <w:pPr>
              <w:cnfStyle w:val="000000100000" w:firstRow="0" w:lastRow="0" w:firstColumn="0" w:lastColumn="0" w:oddVBand="0" w:evenVBand="0" w:oddHBand="1" w:evenHBand="0" w:firstRowFirstColumn="0" w:firstRowLastColumn="0" w:lastRowFirstColumn="0" w:lastRowLastColumn="0"/>
            </w:pPr>
            <w:r w:rsidRPr="005403BA">
              <w:rPr>
                <w:sz w:val="18"/>
                <w:szCs w:val="18"/>
              </w:rPr>
              <w:t>62</w:t>
            </w:r>
          </w:p>
        </w:tc>
        <w:tc>
          <w:tcPr>
            <w:tcW w:w="2200" w:type="dxa"/>
          </w:tcPr>
          <w:p w14:paraId="0B8AA03D" w14:textId="77777777" w:rsidR="00FA7FDB" w:rsidRPr="005403BA" w:rsidRDefault="00000000">
            <w:pPr>
              <w:cnfStyle w:val="000000100000" w:firstRow="0" w:lastRow="0" w:firstColumn="0" w:lastColumn="0" w:oddVBand="0" w:evenVBand="0" w:oddHBand="1" w:evenHBand="0" w:firstRowFirstColumn="0" w:firstRowLastColumn="0" w:lastRowFirstColumn="0" w:lastRowLastColumn="0"/>
            </w:pPr>
            <w:r w:rsidRPr="005403BA">
              <w:rPr>
                <w:sz w:val="18"/>
                <w:szCs w:val="18"/>
              </w:rPr>
              <w:t>9</w:t>
            </w:r>
          </w:p>
        </w:tc>
        <w:tc>
          <w:tcPr>
            <w:tcW w:w="1400" w:type="dxa"/>
          </w:tcPr>
          <w:p w14:paraId="6031EC8B" w14:textId="77777777" w:rsidR="00FA7FDB" w:rsidRPr="005403BA" w:rsidRDefault="00000000">
            <w:pPr>
              <w:cnfStyle w:val="000000100000" w:firstRow="0" w:lastRow="0" w:firstColumn="0" w:lastColumn="0" w:oddVBand="0" w:evenVBand="0" w:oddHBand="1" w:evenHBand="0" w:firstRowFirstColumn="0" w:firstRowLastColumn="0" w:lastRowFirstColumn="0" w:lastRowLastColumn="0"/>
            </w:pPr>
            <w:r w:rsidRPr="005403BA">
              <w:rPr>
                <w:sz w:val="18"/>
                <w:szCs w:val="18"/>
              </w:rPr>
              <w:t>23.9%</w:t>
            </w:r>
          </w:p>
        </w:tc>
      </w:tr>
      <w:tr w:rsidR="005403BA" w:rsidRPr="005403BA" w14:paraId="3AD1F9BB" w14:textId="77777777" w:rsidTr="005403BA">
        <w:trPr>
          <w:trHeight w:val="404"/>
        </w:trPr>
        <w:tc>
          <w:tcPr>
            <w:cnfStyle w:val="001000000000" w:firstRow="0" w:lastRow="0" w:firstColumn="1" w:lastColumn="0" w:oddVBand="0" w:evenVBand="0" w:oddHBand="0" w:evenHBand="0" w:firstRowFirstColumn="0" w:firstRowLastColumn="0" w:lastRowFirstColumn="0" w:lastRowLastColumn="0"/>
            <w:tcW w:w="2600" w:type="dxa"/>
          </w:tcPr>
          <w:p w14:paraId="71CB1B09" w14:textId="77777777" w:rsidR="00FA7FDB" w:rsidRPr="005403BA" w:rsidRDefault="00000000">
            <w:r w:rsidRPr="005403BA">
              <w:rPr>
                <w:sz w:val="18"/>
                <w:szCs w:val="18"/>
              </w:rPr>
              <w:t>Bayonet Head - Lower King</w:t>
            </w:r>
          </w:p>
        </w:tc>
        <w:tc>
          <w:tcPr>
            <w:tcW w:w="1600" w:type="dxa"/>
          </w:tcPr>
          <w:p w14:paraId="17D90BDA" w14:textId="77777777" w:rsidR="00FA7FDB" w:rsidRPr="005403BA" w:rsidRDefault="00000000">
            <w:pPr>
              <w:cnfStyle w:val="000000000000" w:firstRow="0" w:lastRow="0" w:firstColumn="0" w:lastColumn="0" w:oddVBand="0" w:evenVBand="0" w:oddHBand="0" w:evenHBand="0" w:firstRowFirstColumn="0" w:firstRowLastColumn="0" w:lastRowFirstColumn="0" w:lastRowLastColumn="0"/>
            </w:pPr>
            <w:r w:rsidRPr="005403BA">
              <w:rPr>
                <w:sz w:val="18"/>
                <w:szCs w:val="18"/>
              </w:rPr>
              <w:t>5,211</w:t>
            </w:r>
          </w:p>
        </w:tc>
        <w:tc>
          <w:tcPr>
            <w:tcW w:w="2200" w:type="dxa"/>
          </w:tcPr>
          <w:p w14:paraId="7CA86D1A" w14:textId="77777777" w:rsidR="00FA7FDB" w:rsidRPr="005403BA" w:rsidRDefault="00000000">
            <w:pPr>
              <w:cnfStyle w:val="000000000000" w:firstRow="0" w:lastRow="0" w:firstColumn="0" w:lastColumn="0" w:oddVBand="0" w:evenVBand="0" w:oddHBand="0" w:evenHBand="0" w:firstRowFirstColumn="0" w:firstRowLastColumn="0" w:lastRowFirstColumn="0" w:lastRowLastColumn="0"/>
            </w:pPr>
            <w:r w:rsidRPr="005403BA">
              <w:rPr>
                <w:sz w:val="18"/>
                <w:szCs w:val="18"/>
              </w:rPr>
              <w:t>58</w:t>
            </w:r>
          </w:p>
        </w:tc>
        <w:tc>
          <w:tcPr>
            <w:tcW w:w="2200" w:type="dxa"/>
          </w:tcPr>
          <w:p w14:paraId="646E8683" w14:textId="77777777" w:rsidR="00FA7FDB" w:rsidRPr="005403BA" w:rsidRDefault="00000000">
            <w:pPr>
              <w:cnfStyle w:val="000000000000" w:firstRow="0" w:lastRow="0" w:firstColumn="0" w:lastColumn="0" w:oddVBand="0" w:evenVBand="0" w:oddHBand="0" w:evenHBand="0" w:firstRowFirstColumn="0" w:firstRowLastColumn="0" w:lastRowFirstColumn="0" w:lastRowLastColumn="0"/>
            </w:pPr>
            <w:r w:rsidRPr="005403BA">
              <w:rPr>
                <w:sz w:val="18"/>
                <w:szCs w:val="18"/>
              </w:rPr>
              <w:t>5</w:t>
            </w:r>
          </w:p>
        </w:tc>
        <w:tc>
          <w:tcPr>
            <w:tcW w:w="1400" w:type="dxa"/>
          </w:tcPr>
          <w:p w14:paraId="7F2B4A65" w14:textId="77777777" w:rsidR="00FA7FDB" w:rsidRPr="005403BA" w:rsidRDefault="00000000">
            <w:pPr>
              <w:cnfStyle w:val="000000000000" w:firstRow="0" w:lastRow="0" w:firstColumn="0" w:lastColumn="0" w:oddVBand="0" w:evenVBand="0" w:oddHBand="0" w:evenHBand="0" w:firstRowFirstColumn="0" w:firstRowLastColumn="0" w:lastRowFirstColumn="0" w:lastRowLastColumn="0"/>
            </w:pPr>
            <w:r w:rsidRPr="005403BA">
              <w:rPr>
                <w:sz w:val="18"/>
                <w:szCs w:val="18"/>
              </w:rPr>
              <w:t>21.0%</w:t>
            </w:r>
          </w:p>
        </w:tc>
      </w:tr>
      <w:tr w:rsidR="005403BA" w:rsidRPr="005403BA" w14:paraId="0673B9B5" w14:textId="77777777" w:rsidTr="005403BA">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2600" w:type="dxa"/>
          </w:tcPr>
          <w:p w14:paraId="24664A49" w14:textId="77777777" w:rsidR="00FA7FDB" w:rsidRPr="005403BA" w:rsidRDefault="00000000">
            <w:r w:rsidRPr="005403BA">
              <w:rPr>
                <w:sz w:val="18"/>
                <w:szCs w:val="18"/>
              </w:rPr>
              <w:t>Port Hedland</w:t>
            </w:r>
          </w:p>
        </w:tc>
        <w:tc>
          <w:tcPr>
            <w:tcW w:w="1600" w:type="dxa"/>
          </w:tcPr>
          <w:p w14:paraId="033C93B6" w14:textId="77777777" w:rsidR="00FA7FDB" w:rsidRPr="005403BA" w:rsidRDefault="00000000">
            <w:pPr>
              <w:cnfStyle w:val="000000100000" w:firstRow="0" w:lastRow="0" w:firstColumn="0" w:lastColumn="0" w:oddVBand="0" w:evenVBand="0" w:oddHBand="1" w:evenHBand="0" w:firstRowFirstColumn="0" w:firstRowLastColumn="0" w:lastRowFirstColumn="0" w:lastRowLastColumn="0"/>
            </w:pPr>
            <w:r w:rsidRPr="005403BA">
              <w:rPr>
                <w:sz w:val="18"/>
                <w:szCs w:val="18"/>
              </w:rPr>
              <w:t>4,253</w:t>
            </w:r>
          </w:p>
        </w:tc>
        <w:tc>
          <w:tcPr>
            <w:tcW w:w="2200" w:type="dxa"/>
          </w:tcPr>
          <w:p w14:paraId="45FB61A4" w14:textId="77777777" w:rsidR="00FA7FDB" w:rsidRPr="005403BA" w:rsidRDefault="00000000">
            <w:pPr>
              <w:cnfStyle w:val="000000100000" w:firstRow="0" w:lastRow="0" w:firstColumn="0" w:lastColumn="0" w:oddVBand="0" w:evenVBand="0" w:oddHBand="1" w:evenHBand="0" w:firstRowFirstColumn="0" w:firstRowLastColumn="0" w:lastRowFirstColumn="0" w:lastRowLastColumn="0"/>
            </w:pPr>
            <w:r w:rsidRPr="005403BA">
              <w:rPr>
                <w:sz w:val="18"/>
                <w:szCs w:val="18"/>
              </w:rPr>
              <w:t>192</w:t>
            </w:r>
          </w:p>
        </w:tc>
        <w:tc>
          <w:tcPr>
            <w:tcW w:w="2200" w:type="dxa"/>
          </w:tcPr>
          <w:p w14:paraId="57DDB715" w14:textId="77777777" w:rsidR="00FA7FDB" w:rsidRPr="005403BA" w:rsidRDefault="00000000">
            <w:pPr>
              <w:cnfStyle w:val="000000100000" w:firstRow="0" w:lastRow="0" w:firstColumn="0" w:lastColumn="0" w:oddVBand="0" w:evenVBand="0" w:oddHBand="1" w:evenHBand="0" w:firstRowFirstColumn="0" w:firstRowLastColumn="0" w:lastRowFirstColumn="0" w:lastRowLastColumn="0"/>
            </w:pPr>
            <w:r w:rsidRPr="005403BA">
              <w:rPr>
                <w:sz w:val="18"/>
                <w:szCs w:val="18"/>
              </w:rPr>
              <w:t>9</w:t>
            </w:r>
          </w:p>
        </w:tc>
        <w:tc>
          <w:tcPr>
            <w:tcW w:w="1400" w:type="dxa"/>
          </w:tcPr>
          <w:p w14:paraId="6FC57DB0" w14:textId="77777777" w:rsidR="00FA7FDB" w:rsidRPr="005403BA" w:rsidRDefault="00000000">
            <w:pPr>
              <w:cnfStyle w:val="000000100000" w:firstRow="0" w:lastRow="0" w:firstColumn="0" w:lastColumn="0" w:oddVBand="0" w:evenVBand="0" w:oddHBand="1" w:evenHBand="0" w:firstRowFirstColumn="0" w:firstRowLastColumn="0" w:lastRowFirstColumn="0" w:lastRowLastColumn="0"/>
            </w:pPr>
            <w:r w:rsidRPr="005403BA">
              <w:rPr>
                <w:sz w:val="18"/>
                <w:szCs w:val="18"/>
              </w:rPr>
              <w:t>16.0%</w:t>
            </w:r>
          </w:p>
        </w:tc>
      </w:tr>
    </w:tbl>
    <w:p w14:paraId="20A81678" w14:textId="77777777" w:rsidR="00FA7FDB" w:rsidRPr="005403BA" w:rsidRDefault="00000000">
      <w:r w:rsidRPr="005403BA">
        <w:br w:type="page"/>
      </w:r>
    </w:p>
    <w:p w14:paraId="6B72B888" w14:textId="77777777" w:rsidR="00FA7FDB" w:rsidRPr="005403BA" w:rsidRDefault="00000000">
      <w:pPr>
        <w:pStyle w:val="Heading2"/>
        <w:spacing w:before="260" w:after="120"/>
        <w:rPr>
          <w:color w:val="auto"/>
        </w:rPr>
      </w:pPr>
      <w:r w:rsidRPr="005403BA">
        <w:rPr>
          <w:color w:val="auto"/>
        </w:rPr>
        <w:lastRenderedPageBreak/>
        <w:t>4.3 Full rollout: remaining 11 facilities (87.3% to 100% coverage)</w:t>
      </w:r>
    </w:p>
    <w:tbl>
      <w:tblPr>
        <w:tblStyle w:val="PlainTable5"/>
        <w:tblW w:w="10023" w:type="dxa"/>
        <w:tblLook w:val="04A0" w:firstRow="1" w:lastRow="0" w:firstColumn="1" w:lastColumn="0" w:noHBand="0" w:noVBand="1"/>
      </w:tblPr>
      <w:tblGrid>
        <w:gridCol w:w="2606"/>
        <w:gridCol w:w="1604"/>
        <w:gridCol w:w="2205"/>
        <w:gridCol w:w="2205"/>
        <w:gridCol w:w="1403"/>
      </w:tblGrid>
      <w:tr w:rsidR="005403BA" w:rsidRPr="005403BA" w14:paraId="2F091DE0" w14:textId="77777777" w:rsidTr="005403BA">
        <w:trPr>
          <w:cnfStyle w:val="100000000000" w:firstRow="1" w:lastRow="0" w:firstColumn="0" w:lastColumn="0" w:oddVBand="0" w:evenVBand="0" w:oddHBand="0" w:evenHBand="0" w:firstRowFirstColumn="0" w:firstRowLastColumn="0" w:lastRowFirstColumn="0" w:lastRowLastColumn="0"/>
          <w:trHeight w:val="299"/>
        </w:trPr>
        <w:tc>
          <w:tcPr>
            <w:cnfStyle w:val="001000000100" w:firstRow="0" w:lastRow="0" w:firstColumn="1" w:lastColumn="0" w:oddVBand="0" w:evenVBand="0" w:oddHBand="0" w:evenHBand="0" w:firstRowFirstColumn="1" w:firstRowLastColumn="0" w:lastRowFirstColumn="0" w:lastRowLastColumn="0"/>
            <w:tcW w:w="2606" w:type="dxa"/>
          </w:tcPr>
          <w:p w14:paraId="2B1E296D" w14:textId="77777777" w:rsidR="00FA7FDB" w:rsidRPr="005403BA" w:rsidRDefault="00000000">
            <w:r w:rsidRPr="005403BA">
              <w:rPr>
                <w:b/>
                <w:bCs/>
                <w:sz w:val="18"/>
                <w:szCs w:val="18"/>
              </w:rPr>
              <w:t>Community</w:t>
            </w:r>
          </w:p>
        </w:tc>
        <w:tc>
          <w:tcPr>
            <w:tcW w:w="1604" w:type="dxa"/>
          </w:tcPr>
          <w:p w14:paraId="3F28035A" w14:textId="77777777" w:rsidR="00FA7FDB" w:rsidRPr="005403BA" w:rsidRDefault="00000000">
            <w:pPr>
              <w:cnfStyle w:val="100000000000" w:firstRow="1" w:lastRow="0" w:firstColumn="0" w:lastColumn="0" w:oddVBand="0" w:evenVBand="0" w:oddHBand="0" w:evenHBand="0" w:firstRowFirstColumn="0" w:firstRowLastColumn="0" w:lastRowFirstColumn="0" w:lastRowLastColumn="0"/>
            </w:pPr>
            <w:r w:rsidRPr="005403BA">
              <w:rPr>
                <w:b/>
                <w:bCs/>
                <w:sz w:val="18"/>
                <w:szCs w:val="18"/>
              </w:rPr>
              <w:t>Population</w:t>
            </w:r>
          </w:p>
        </w:tc>
        <w:tc>
          <w:tcPr>
            <w:tcW w:w="2205" w:type="dxa"/>
          </w:tcPr>
          <w:p w14:paraId="7D157BD8" w14:textId="77777777" w:rsidR="00FA7FDB" w:rsidRPr="005403BA" w:rsidRDefault="00000000">
            <w:pPr>
              <w:cnfStyle w:val="100000000000" w:firstRow="1" w:lastRow="0" w:firstColumn="0" w:lastColumn="0" w:oddVBand="0" w:evenVBand="0" w:oddHBand="0" w:evenHBand="0" w:firstRowFirstColumn="0" w:firstRowLastColumn="0" w:lastRowFirstColumn="0" w:lastRowLastColumn="0"/>
            </w:pPr>
            <w:r w:rsidRPr="005403BA">
              <w:rPr>
                <w:b/>
                <w:bCs/>
                <w:sz w:val="18"/>
                <w:szCs w:val="18"/>
              </w:rPr>
              <w:t>Dist. to nearest CRC (km)</w:t>
            </w:r>
          </w:p>
        </w:tc>
        <w:tc>
          <w:tcPr>
            <w:tcW w:w="2205" w:type="dxa"/>
          </w:tcPr>
          <w:p w14:paraId="3C3CF9BE" w14:textId="77777777" w:rsidR="00FA7FDB" w:rsidRPr="005403BA" w:rsidRDefault="00000000">
            <w:pPr>
              <w:cnfStyle w:val="100000000000" w:firstRow="1" w:lastRow="0" w:firstColumn="0" w:lastColumn="0" w:oddVBand="0" w:evenVBand="0" w:oddHBand="0" w:evenHBand="0" w:firstRowFirstColumn="0" w:firstRowLastColumn="0" w:lastRowFirstColumn="0" w:lastRowLastColumn="0"/>
            </w:pPr>
            <w:r w:rsidRPr="005403BA">
              <w:rPr>
                <w:b/>
                <w:bCs/>
                <w:sz w:val="18"/>
                <w:szCs w:val="18"/>
              </w:rPr>
              <w:t>Disadvantage decile</w:t>
            </w:r>
          </w:p>
        </w:tc>
        <w:tc>
          <w:tcPr>
            <w:tcW w:w="1403" w:type="dxa"/>
          </w:tcPr>
          <w:p w14:paraId="0A45B3A3" w14:textId="77777777" w:rsidR="00FA7FDB" w:rsidRPr="005403BA" w:rsidRDefault="00000000">
            <w:pPr>
              <w:cnfStyle w:val="100000000000" w:firstRow="1" w:lastRow="0" w:firstColumn="0" w:lastColumn="0" w:oddVBand="0" w:evenVBand="0" w:oddHBand="0" w:evenHBand="0" w:firstRowFirstColumn="0" w:firstRowLastColumn="0" w:lastRowFirstColumn="0" w:lastRowLastColumn="0"/>
            </w:pPr>
            <w:r w:rsidRPr="005403BA">
              <w:rPr>
                <w:b/>
                <w:bCs/>
                <w:sz w:val="18"/>
                <w:szCs w:val="18"/>
              </w:rPr>
              <w:t>Volunteer rate</w:t>
            </w:r>
          </w:p>
        </w:tc>
      </w:tr>
      <w:tr w:rsidR="005403BA" w:rsidRPr="005403BA" w14:paraId="634E644C" w14:textId="77777777" w:rsidTr="005403BA">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2606" w:type="dxa"/>
          </w:tcPr>
          <w:p w14:paraId="0BCBF3EB" w14:textId="77777777" w:rsidR="00FA7FDB" w:rsidRPr="005403BA" w:rsidRDefault="00000000">
            <w:r w:rsidRPr="005403BA">
              <w:rPr>
                <w:sz w:val="18"/>
                <w:szCs w:val="18"/>
              </w:rPr>
              <w:t>Derby - West Kimberley</w:t>
            </w:r>
          </w:p>
        </w:tc>
        <w:tc>
          <w:tcPr>
            <w:tcW w:w="1604" w:type="dxa"/>
          </w:tcPr>
          <w:p w14:paraId="2A59342C" w14:textId="77777777" w:rsidR="00FA7FDB" w:rsidRPr="005403BA" w:rsidRDefault="00000000">
            <w:pPr>
              <w:cnfStyle w:val="000000100000" w:firstRow="0" w:lastRow="0" w:firstColumn="0" w:lastColumn="0" w:oddVBand="0" w:evenVBand="0" w:oddHBand="1" w:evenHBand="0" w:firstRowFirstColumn="0" w:firstRowLastColumn="0" w:lastRowFirstColumn="0" w:lastRowLastColumn="0"/>
            </w:pPr>
            <w:r w:rsidRPr="005403BA">
              <w:rPr>
                <w:sz w:val="18"/>
                <w:szCs w:val="18"/>
              </w:rPr>
              <w:t>7,045</w:t>
            </w:r>
          </w:p>
        </w:tc>
        <w:tc>
          <w:tcPr>
            <w:tcW w:w="2205" w:type="dxa"/>
          </w:tcPr>
          <w:p w14:paraId="3B333F7F" w14:textId="77777777" w:rsidR="00FA7FDB" w:rsidRPr="005403BA" w:rsidRDefault="00000000">
            <w:pPr>
              <w:cnfStyle w:val="000000100000" w:firstRow="0" w:lastRow="0" w:firstColumn="0" w:lastColumn="0" w:oddVBand="0" w:evenVBand="0" w:oddHBand="1" w:evenHBand="0" w:firstRowFirstColumn="0" w:firstRowLastColumn="0" w:lastRowFirstColumn="0" w:lastRowLastColumn="0"/>
            </w:pPr>
            <w:r w:rsidRPr="005403BA">
              <w:rPr>
                <w:sz w:val="18"/>
                <w:szCs w:val="18"/>
              </w:rPr>
              <w:t>108</w:t>
            </w:r>
          </w:p>
        </w:tc>
        <w:tc>
          <w:tcPr>
            <w:tcW w:w="2205" w:type="dxa"/>
          </w:tcPr>
          <w:p w14:paraId="3817B7DD" w14:textId="77777777" w:rsidR="00FA7FDB" w:rsidRPr="005403BA" w:rsidRDefault="00000000">
            <w:pPr>
              <w:cnfStyle w:val="000000100000" w:firstRow="0" w:lastRow="0" w:firstColumn="0" w:lastColumn="0" w:oddVBand="0" w:evenVBand="0" w:oddHBand="1" w:evenHBand="0" w:firstRowFirstColumn="0" w:firstRowLastColumn="0" w:lastRowFirstColumn="0" w:lastRowLastColumn="0"/>
            </w:pPr>
            <w:r w:rsidRPr="005403BA">
              <w:rPr>
                <w:sz w:val="18"/>
                <w:szCs w:val="18"/>
              </w:rPr>
              <w:t>1 (most disadvantaged)</w:t>
            </w:r>
          </w:p>
        </w:tc>
        <w:tc>
          <w:tcPr>
            <w:tcW w:w="1403" w:type="dxa"/>
          </w:tcPr>
          <w:p w14:paraId="00F57321" w14:textId="77777777" w:rsidR="00FA7FDB" w:rsidRPr="005403BA" w:rsidRDefault="00000000">
            <w:pPr>
              <w:cnfStyle w:val="000000100000" w:firstRow="0" w:lastRow="0" w:firstColumn="0" w:lastColumn="0" w:oddVBand="0" w:evenVBand="0" w:oddHBand="1" w:evenHBand="0" w:firstRowFirstColumn="0" w:firstRowLastColumn="0" w:lastRowFirstColumn="0" w:lastRowLastColumn="0"/>
            </w:pPr>
            <w:r w:rsidRPr="005403BA">
              <w:rPr>
                <w:sz w:val="18"/>
                <w:szCs w:val="18"/>
              </w:rPr>
              <w:t>11.1%</w:t>
            </w:r>
          </w:p>
        </w:tc>
      </w:tr>
      <w:tr w:rsidR="005403BA" w:rsidRPr="005403BA" w14:paraId="54E21DA8" w14:textId="77777777" w:rsidTr="005403BA">
        <w:trPr>
          <w:trHeight w:val="299"/>
        </w:trPr>
        <w:tc>
          <w:tcPr>
            <w:cnfStyle w:val="001000000000" w:firstRow="0" w:lastRow="0" w:firstColumn="1" w:lastColumn="0" w:oddVBand="0" w:evenVBand="0" w:oddHBand="0" w:evenHBand="0" w:firstRowFirstColumn="0" w:firstRowLastColumn="0" w:lastRowFirstColumn="0" w:lastRowLastColumn="0"/>
            <w:tcW w:w="2606" w:type="dxa"/>
          </w:tcPr>
          <w:p w14:paraId="516A9100" w14:textId="77777777" w:rsidR="00FA7FDB" w:rsidRPr="005403BA" w:rsidRDefault="00000000">
            <w:r w:rsidRPr="005403BA">
              <w:rPr>
                <w:sz w:val="18"/>
                <w:szCs w:val="18"/>
              </w:rPr>
              <w:t>East Pilbara</w:t>
            </w:r>
          </w:p>
        </w:tc>
        <w:tc>
          <w:tcPr>
            <w:tcW w:w="1604" w:type="dxa"/>
          </w:tcPr>
          <w:p w14:paraId="004986B2" w14:textId="77777777" w:rsidR="00FA7FDB" w:rsidRPr="005403BA" w:rsidRDefault="00000000">
            <w:pPr>
              <w:cnfStyle w:val="000000000000" w:firstRow="0" w:lastRow="0" w:firstColumn="0" w:lastColumn="0" w:oddVBand="0" w:evenVBand="0" w:oddHBand="0" w:evenHBand="0" w:firstRowFirstColumn="0" w:firstRowLastColumn="0" w:lastRowFirstColumn="0" w:lastRowLastColumn="0"/>
            </w:pPr>
            <w:r w:rsidRPr="005403BA">
              <w:rPr>
                <w:sz w:val="18"/>
                <w:szCs w:val="18"/>
              </w:rPr>
              <w:t>5,910</w:t>
            </w:r>
          </w:p>
        </w:tc>
        <w:tc>
          <w:tcPr>
            <w:tcW w:w="2205" w:type="dxa"/>
          </w:tcPr>
          <w:p w14:paraId="1FC0F80A" w14:textId="77777777" w:rsidR="00FA7FDB" w:rsidRPr="005403BA" w:rsidRDefault="00000000">
            <w:pPr>
              <w:cnfStyle w:val="000000000000" w:firstRow="0" w:lastRow="0" w:firstColumn="0" w:lastColumn="0" w:oddVBand="0" w:evenVBand="0" w:oddHBand="0" w:evenHBand="0" w:firstRowFirstColumn="0" w:firstRowLastColumn="0" w:lastRowFirstColumn="0" w:lastRowLastColumn="0"/>
            </w:pPr>
            <w:r w:rsidRPr="005403BA">
              <w:rPr>
                <w:sz w:val="18"/>
                <w:szCs w:val="18"/>
              </w:rPr>
              <w:t>492</w:t>
            </w:r>
          </w:p>
        </w:tc>
        <w:tc>
          <w:tcPr>
            <w:tcW w:w="2205" w:type="dxa"/>
          </w:tcPr>
          <w:p w14:paraId="48F852E7" w14:textId="77777777" w:rsidR="00FA7FDB" w:rsidRPr="005403BA" w:rsidRDefault="00000000">
            <w:pPr>
              <w:cnfStyle w:val="000000000000" w:firstRow="0" w:lastRow="0" w:firstColumn="0" w:lastColumn="0" w:oddVBand="0" w:evenVBand="0" w:oddHBand="0" w:evenHBand="0" w:firstRowFirstColumn="0" w:firstRowLastColumn="0" w:lastRowFirstColumn="0" w:lastRowLastColumn="0"/>
            </w:pPr>
            <w:r w:rsidRPr="005403BA">
              <w:rPr>
                <w:sz w:val="18"/>
                <w:szCs w:val="18"/>
              </w:rPr>
              <w:t>1</w:t>
            </w:r>
          </w:p>
        </w:tc>
        <w:tc>
          <w:tcPr>
            <w:tcW w:w="1403" w:type="dxa"/>
          </w:tcPr>
          <w:p w14:paraId="799143C7" w14:textId="77777777" w:rsidR="00FA7FDB" w:rsidRPr="005403BA" w:rsidRDefault="00000000">
            <w:pPr>
              <w:cnfStyle w:val="000000000000" w:firstRow="0" w:lastRow="0" w:firstColumn="0" w:lastColumn="0" w:oddVBand="0" w:evenVBand="0" w:oddHBand="0" w:evenHBand="0" w:firstRowFirstColumn="0" w:firstRowLastColumn="0" w:lastRowFirstColumn="0" w:lastRowLastColumn="0"/>
            </w:pPr>
            <w:r w:rsidRPr="005403BA">
              <w:rPr>
                <w:sz w:val="18"/>
                <w:szCs w:val="18"/>
              </w:rPr>
              <w:t>6.7%</w:t>
            </w:r>
          </w:p>
        </w:tc>
      </w:tr>
      <w:tr w:rsidR="005403BA" w:rsidRPr="005403BA" w14:paraId="3448396C" w14:textId="77777777" w:rsidTr="005403BA">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2606" w:type="dxa"/>
          </w:tcPr>
          <w:p w14:paraId="01989352" w14:textId="77777777" w:rsidR="00FA7FDB" w:rsidRPr="005403BA" w:rsidRDefault="00000000">
            <w:proofErr w:type="spellStart"/>
            <w:r w:rsidRPr="005403BA">
              <w:rPr>
                <w:sz w:val="18"/>
                <w:szCs w:val="18"/>
              </w:rPr>
              <w:t>Kununurra</w:t>
            </w:r>
            <w:proofErr w:type="spellEnd"/>
          </w:p>
        </w:tc>
        <w:tc>
          <w:tcPr>
            <w:tcW w:w="1604" w:type="dxa"/>
          </w:tcPr>
          <w:p w14:paraId="555869BC" w14:textId="77777777" w:rsidR="00FA7FDB" w:rsidRPr="005403BA" w:rsidRDefault="00000000">
            <w:pPr>
              <w:cnfStyle w:val="000000100000" w:firstRow="0" w:lastRow="0" w:firstColumn="0" w:lastColumn="0" w:oddVBand="0" w:evenVBand="0" w:oddHBand="1" w:evenHBand="0" w:firstRowFirstColumn="0" w:firstRowLastColumn="0" w:lastRowFirstColumn="0" w:lastRowLastColumn="0"/>
            </w:pPr>
            <w:r w:rsidRPr="005403BA">
              <w:rPr>
                <w:sz w:val="18"/>
                <w:szCs w:val="18"/>
              </w:rPr>
              <w:t>7,477</w:t>
            </w:r>
          </w:p>
        </w:tc>
        <w:tc>
          <w:tcPr>
            <w:tcW w:w="2205" w:type="dxa"/>
          </w:tcPr>
          <w:p w14:paraId="3BDD2CF0" w14:textId="77777777" w:rsidR="00FA7FDB" w:rsidRPr="005403BA" w:rsidRDefault="00000000">
            <w:pPr>
              <w:cnfStyle w:val="000000100000" w:firstRow="0" w:lastRow="0" w:firstColumn="0" w:lastColumn="0" w:oddVBand="0" w:evenVBand="0" w:oddHBand="1" w:evenHBand="0" w:firstRowFirstColumn="0" w:firstRowLastColumn="0" w:lastRowFirstColumn="0" w:lastRowLastColumn="0"/>
            </w:pPr>
            <w:r w:rsidRPr="005403BA">
              <w:rPr>
                <w:sz w:val="18"/>
                <w:szCs w:val="18"/>
              </w:rPr>
              <w:t>153</w:t>
            </w:r>
          </w:p>
        </w:tc>
        <w:tc>
          <w:tcPr>
            <w:tcW w:w="2205" w:type="dxa"/>
          </w:tcPr>
          <w:p w14:paraId="2F11B7C0" w14:textId="77777777" w:rsidR="00FA7FDB" w:rsidRPr="005403BA" w:rsidRDefault="00000000">
            <w:pPr>
              <w:cnfStyle w:val="000000100000" w:firstRow="0" w:lastRow="0" w:firstColumn="0" w:lastColumn="0" w:oddVBand="0" w:evenVBand="0" w:oddHBand="1" w:evenHBand="0" w:firstRowFirstColumn="0" w:firstRowLastColumn="0" w:lastRowFirstColumn="0" w:lastRowLastColumn="0"/>
            </w:pPr>
            <w:r w:rsidRPr="005403BA">
              <w:rPr>
                <w:sz w:val="18"/>
                <w:szCs w:val="18"/>
              </w:rPr>
              <w:t>1</w:t>
            </w:r>
          </w:p>
        </w:tc>
        <w:tc>
          <w:tcPr>
            <w:tcW w:w="1403" w:type="dxa"/>
          </w:tcPr>
          <w:p w14:paraId="55C2FBF1" w14:textId="77777777" w:rsidR="00FA7FDB" w:rsidRPr="005403BA" w:rsidRDefault="00000000">
            <w:pPr>
              <w:cnfStyle w:val="000000100000" w:firstRow="0" w:lastRow="0" w:firstColumn="0" w:lastColumn="0" w:oddVBand="0" w:evenVBand="0" w:oddHBand="1" w:evenHBand="0" w:firstRowFirstColumn="0" w:firstRowLastColumn="0" w:lastRowFirstColumn="0" w:lastRowLastColumn="0"/>
            </w:pPr>
            <w:r w:rsidRPr="005403BA">
              <w:rPr>
                <w:sz w:val="18"/>
                <w:szCs w:val="18"/>
              </w:rPr>
              <w:t>16.2%</w:t>
            </w:r>
          </w:p>
        </w:tc>
      </w:tr>
      <w:tr w:rsidR="005403BA" w:rsidRPr="005403BA" w14:paraId="269AAF3F" w14:textId="77777777" w:rsidTr="005403BA">
        <w:trPr>
          <w:trHeight w:val="299"/>
        </w:trPr>
        <w:tc>
          <w:tcPr>
            <w:cnfStyle w:val="001000000000" w:firstRow="0" w:lastRow="0" w:firstColumn="1" w:lastColumn="0" w:oddVBand="0" w:evenVBand="0" w:oddHBand="0" w:evenHBand="0" w:firstRowFirstColumn="0" w:firstRowLastColumn="0" w:lastRowFirstColumn="0" w:lastRowLastColumn="0"/>
            <w:tcW w:w="2606" w:type="dxa"/>
          </w:tcPr>
          <w:p w14:paraId="51CFBB27" w14:textId="77777777" w:rsidR="00FA7FDB" w:rsidRPr="005403BA" w:rsidRDefault="00000000">
            <w:r w:rsidRPr="005403BA">
              <w:rPr>
                <w:sz w:val="18"/>
                <w:szCs w:val="18"/>
              </w:rPr>
              <w:t>Ashburton (WA)</w:t>
            </w:r>
          </w:p>
        </w:tc>
        <w:tc>
          <w:tcPr>
            <w:tcW w:w="1604" w:type="dxa"/>
          </w:tcPr>
          <w:p w14:paraId="294B959F" w14:textId="77777777" w:rsidR="00FA7FDB" w:rsidRPr="005403BA" w:rsidRDefault="00000000">
            <w:pPr>
              <w:cnfStyle w:val="000000000000" w:firstRow="0" w:lastRow="0" w:firstColumn="0" w:lastColumn="0" w:oddVBand="0" w:evenVBand="0" w:oddHBand="0" w:evenHBand="0" w:firstRowFirstColumn="0" w:firstRowLastColumn="0" w:lastRowFirstColumn="0" w:lastRowLastColumn="0"/>
            </w:pPr>
            <w:r w:rsidRPr="005403BA">
              <w:rPr>
                <w:sz w:val="18"/>
                <w:szCs w:val="18"/>
              </w:rPr>
              <w:t>7,391</w:t>
            </w:r>
          </w:p>
        </w:tc>
        <w:tc>
          <w:tcPr>
            <w:tcW w:w="2205" w:type="dxa"/>
          </w:tcPr>
          <w:p w14:paraId="53B7AF0E" w14:textId="77777777" w:rsidR="00FA7FDB" w:rsidRPr="005403BA" w:rsidRDefault="00000000">
            <w:pPr>
              <w:cnfStyle w:val="000000000000" w:firstRow="0" w:lastRow="0" w:firstColumn="0" w:lastColumn="0" w:oddVBand="0" w:evenVBand="0" w:oddHBand="0" w:evenHBand="0" w:firstRowFirstColumn="0" w:firstRowLastColumn="0" w:lastRowFirstColumn="0" w:lastRowLastColumn="0"/>
            </w:pPr>
            <w:r w:rsidRPr="005403BA">
              <w:rPr>
                <w:sz w:val="18"/>
                <w:szCs w:val="18"/>
              </w:rPr>
              <w:t>145</w:t>
            </w:r>
          </w:p>
        </w:tc>
        <w:tc>
          <w:tcPr>
            <w:tcW w:w="2205" w:type="dxa"/>
          </w:tcPr>
          <w:p w14:paraId="48C39210" w14:textId="77777777" w:rsidR="00FA7FDB" w:rsidRPr="005403BA" w:rsidRDefault="00000000">
            <w:pPr>
              <w:cnfStyle w:val="000000000000" w:firstRow="0" w:lastRow="0" w:firstColumn="0" w:lastColumn="0" w:oddVBand="0" w:evenVBand="0" w:oddHBand="0" w:evenHBand="0" w:firstRowFirstColumn="0" w:firstRowLastColumn="0" w:lastRowFirstColumn="0" w:lastRowLastColumn="0"/>
            </w:pPr>
            <w:r w:rsidRPr="005403BA">
              <w:rPr>
                <w:sz w:val="18"/>
                <w:szCs w:val="18"/>
              </w:rPr>
              <w:t>6</w:t>
            </w:r>
          </w:p>
        </w:tc>
        <w:tc>
          <w:tcPr>
            <w:tcW w:w="1403" w:type="dxa"/>
          </w:tcPr>
          <w:p w14:paraId="11C751D2" w14:textId="77777777" w:rsidR="00FA7FDB" w:rsidRPr="005403BA" w:rsidRDefault="00000000">
            <w:pPr>
              <w:cnfStyle w:val="000000000000" w:firstRow="0" w:lastRow="0" w:firstColumn="0" w:lastColumn="0" w:oddVBand="0" w:evenVBand="0" w:oddHBand="0" w:evenHBand="0" w:firstRowFirstColumn="0" w:firstRowLastColumn="0" w:lastRowFirstColumn="0" w:lastRowLastColumn="0"/>
            </w:pPr>
            <w:r w:rsidRPr="005403BA">
              <w:rPr>
                <w:sz w:val="18"/>
                <w:szCs w:val="18"/>
              </w:rPr>
              <w:t>18.4%</w:t>
            </w:r>
          </w:p>
        </w:tc>
      </w:tr>
      <w:tr w:rsidR="005403BA" w:rsidRPr="005403BA" w14:paraId="573061DF" w14:textId="77777777" w:rsidTr="005403BA">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2606" w:type="dxa"/>
          </w:tcPr>
          <w:p w14:paraId="1741C214" w14:textId="77777777" w:rsidR="00FA7FDB" w:rsidRPr="005403BA" w:rsidRDefault="00000000">
            <w:r w:rsidRPr="005403BA">
              <w:rPr>
                <w:sz w:val="18"/>
                <w:szCs w:val="18"/>
              </w:rPr>
              <w:t>Leinster - Leonora</w:t>
            </w:r>
          </w:p>
        </w:tc>
        <w:tc>
          <w:tcPr>
            <w:tcW w:w="1604" w:type="dxa"/>
          </w:tcPr>
          <w:p w14:paraId="50BF49F6" w14:textId="77777777" w:rsidR="00FA7FDB" w:rsidRPr="005403BA" w:rsidRDefault="00000000">
            <w:pPr>
              <w:cnfStyle w:val="000000100000" w:firstRow="0" w:lastRow="0" w:firstColumn="0" w:lastColumn="0" w:oddVBand="0" w:evenVBand="0" w:oddHBand="1" w:evenHBand="0" w:firstRowFirstColumn="0" w:firstRowLastColumn="0" w:lastRowFirstColumn="0" w:lastRowLastColumn="0"/>
            </w:pPr>
            <w:r w:rsidRPr="005403BA">
              <w:rPr>
                <w:sz w:val="18"/>
                <w:szCs w:val="18"/>
              </w:rPr>
              <w:t>4,804</w:t>
            </w:r>
          </w:p>
        </w:tc>
        <w:tc>
          <w:tcPr>
            <w:tcW w:w="2205" w:type="dxa"/>
          </w:tcPr>
          <w:p w14:paraId="55855442" w14:textId="77777777" w:rsidR="00FA7FDB" w:rsidRPr="005403BA" w:rsidRDefault="00000000">
            <w:pPr>
              <w:cnfStyle w:val="000000100000" w:firstRow="0" w:lastRow="0" w:firstColumn="0" w:lastColumn="0" w:oddVBand="0" w:evenVBand="0" w:oddHBand="1" w:evenHBand="0" w:firstRowFirstColumn="0" w:firstRowLastColumn="0" w:lastRowFirstColumn="0" w:lastRowLastColumn="0"/>
            </w:pPr>
            <w:r w:rsidRPr="005403BA">
              <w:rPr>
                <w:sz w:val="18"/>
                <w:szCs w:val="18"/>
              </w:rPr>
              <w:t>360</w:t>
            </w:r>
          </w:p>
        </w:tc>
        <w:tc>
          <w:tcPr>
            <w:tcW w:w="2205" w:type="dxa"/>
          </w:tcPr>
          <w:p w14:paraId="76FE4569" w14:textId="77777777" w:rsidR="00FA7FDB" w:rsidRPr="005403BA" w:rsidRDefault="00000000">
            <w:pPr>
              <w:cnfStyle w:val="000000100000" w:firstRow="0" w:lastRow="0" w:firstColumn="0" w:lastColumn="0" w:oddVBand="0" w:evenVBand="0" w:oddHBand="1" w:evenHBand="0" w:firstRowFirstColumn="0" w:firstRowLastColumn="0" w:lastRowFirstColumn="0" w:lastRowLastColumn="0"/>
            </w:pPr>
            <w:r w:rsidRPr="005403BA">
              <w:rPr>
                <w:sz w:val="18"/>
                <w:szCs w:val="18"/>
              </w:rPr>
              <w:t>1</w:t>
            </w:r>
          </w:p>
        </w:tc>
        <w:tc>
          <w:tcPr>
            <w:tcW w:w="1403" w:type="dxa"/>
          </w:tcPr>
          <w:p w14:paraId="13B9BA65" w14:textId="77777777" w:rsidR="00FA7FDB" w:rsidRPr="005403BA" w:rsidRDefault="00000000">
            <w:pPr>
              <w:cnfStyle w:val="000000100000" w:firstRow="0" w:lastRow="0" w:firstColumn="0" w:lastColumn="0" w:oddVBand="0" w:evenVBand="0" w:oddHBand="1" w:evenHBand="0" w:firstRowFirstColumn="0" w:firstRowLastColumn="0" w:lastRowFirstColumn="0" w:lastRowLastColumn="0"/>
            </w:pPr>
            <w:r w:rsidRPr="005403BA">
              <w:rPr>
                <w:sz w:val="18"/>
                <w:szCs w:val="18"/>
              </w:rPr>
              <w:t>7.0%</w:t>
            </w:r>
          </w:p>
        </w:tc>
      </w:tr>
      <w:tr w:rsidR="005403BA" w:rsidRPr="005403BA" w14:paraId="070467AD" w14:textId="77777777" w:rsidTr="005403BA">
        <w:trPr>
          <w:trHeight w:val="617"/>
        </w:trPr>
        <w:tc>
          <w:tcPr>
            <w:cnfStyle w:val="001000000000" w:firstRow="0" w:lastRow="0" w:firstColumn="1" w:lastColumn="0" w:oddVBand="0" w:evenVBand="0" w:oddHBand="0" w:evenHBand="0" w:firstRowFirstColumn="0" w:firstRowLastColumn="0" w:lastRowFirstColumn="0" w:lastRowLastColumn="0"/>
            <w:tcW w:w="2606" w:type="dxa"/>
          </w:tcPr>
          <w:p w14:paraId="76279627" w14:textId="77777777" w:rsidR="00FA7FDB" w:rsidRPr="005403BA" w:rsidRDefault="00000000">
            <w:proofErr w:type="spellStart"/>
            <w:r w:rsidRPr="005403BA">
              <w:rPr>
                <w:sz w:val="18"/>
                <w:szCs w:val="18"/>
              </w:rPr>
              <w:t>Kambalda</w:t>
            </w:r>
            <w:proofErr w:type="spellEnd"/>
            <w:r w:rsidRPr="005403BA">
              <w:rPr>
                <w:sz w:val="18"/>
                <w:szCs w:val="18"/>
              </w:rPr>
              <w:t xml:space="preserve"> - Coolgardie - Norseman</w:t>
            </w:r>
          </w:p>
        </w:tc>
        <w:tc>
          <w:tcPr>
            <w:tcW w:w="1604" w:type="dxa"/>
          </w:tcPr>
          <w:p w14:paraId="67B856D1" w14:textId="77777777" w:rsidR="00FA7FDB" w:rsidRPr="005403BA" w:rsidRDefault="00000000">
            <w:pPr>
              <w:cnfStyle w:val="000000000000" w:firstRow="0" w:lastRow="0" w:firstColumn="0" w:lastColumn="0" w:oddVBand="0" w:evenVBand="0" w:oddHBand="0" w:evenHBand="0" w:firstRowFirstColumn="0" w:firstRowLastColumn="0" w:lastRowFirstColumn="0" w:lastRowLastColumn="0"/>
            </w:pPr>
            <w:r w:rsidRPr="005403BA">
              <w:rPr>
                <w:sz w:val="18"/>
                <w:szCs w:val="18"/>
              </w:rPr>
              <w:t>4,389</w:t>
            </w:r>
          </w:p>
        </w:tc>
        <w:tc>
          <w:tcPr>
            <w:tcW w:w="2205" w:type="dxa"/>
          </w:tcPr>
          <w:p w14:paraId="25E78B7C" w14:textId="77777777" w:rsidR="00FA7FDB" w:rsidRPr="005403BA" w:rsidRDefault="00000000">
            <w:pPr>
              <w:cnfStyle w:val="000000000000" w:firstRow="0" w:lastRow="0" w:firstColumn="0" w:lastColumn="0" w:oddVBand="0" w:evenVBand="0" w:oddHBand="0" w:evenHBand="0" w:firstRowFirstColumn="0" w:firstRowLastColumn="0" w:lastRowFirstColumn="0" w:lastRowLastColumn="0"/>
            </w:pPr>
            <w:r w:rsidRPr="005403BA">
              <w:rPr>
                <w:sz w:val="18"/>
                <w:szCs w:val="18"/>
              </w:rPr>
              <w:t>322</w:t>
            </w:r>
          </w:p>
        </w:tc>
        <w:tc>
          <w:tcPr>
            <w:tcW w:w="2205" w:type="dxa"/>
          </w:tcPr>
          <w:p w14:paraId="3EDEDBAE" w14:textId="77777777" w:rsidR="00FA7FDB" w:rsidRPr="005403BA" w:rsidRDefault="00000000">
            <w:pPr>
              <w:cnfStyle w:val="000000000000" w:firstRow="0" w:lastRow="0" w:firstColumn="0" w:lastColumn="0" w:oddVBand="0" w:evenVBand="0" w:oddHBand="0" w:evenHBand="0" w:firstRowFirstColumn="0" w:firstRowLastColumn="0" w:lastRowFirstColumn="0" w:lastRowLastColumn="0"/>
            </w:pPr>
            <w:r w:rsidRPr="005403BA">
              <w:rPr>
                <w:sz w:val="18"/>
                <w:szCs w:val="18"/>
              </w:rPr>
              <w:t>1</w:t>
            </w:r>
          </w:p>
        </w:tc>
        <w:tc>
          <w:tcPr>
            <w:tcW w:w="1403" w:type="dxa"/>
          </w:tcPr>
          <w:p w14:paraId="069E6E91" w14:textId="77777777" w:rsidR="00FA7FDB" w:rsidRPr="005403BA" w:rsidRDefault="00000000">
            <w:pPr>
              <w:cnfStyle w:val="000000000000" w:firstRow="0" w:lastRow="0" w:firstColumn="0" w:lastColumn="0" w:oddVBand="0" w:evenVBand="0" w:oddHBand="0" w:evenHBand="0" w:firstRowFirstColumn="0" w:firstRowLastColumn="0" w:lastRowFirstColumn="0" w:lastRowLastColumn="0"/>
            </w:pPr>
            <w:r w:rsidRPr="005403BA">
              <w:rPr>
                <w:sz w:val="18"/>
                <w:szCs w:val="18"/>
              </w:rPr>
              <w:t>10.8%</w:t>
            </w:r>
          </w:p>
        </w:tc>
      </w:tr>
      <w:tr w:rsidR="005403BA" w:rsidRPr="005403BA" w14:paraId="21B2C751" w14:textId="77777777" w:rsidTr="005403BA">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2606" w:type="dxa"/>
          </w:tcPr>
          <w:p w14:paraId="4F0A17C3" w14:textId="77777777" w:rsidR="00FA7FDB" w:rsidRPr="005403BA" w:rsidRDefault="00000000">
            <w:r w:rsidRPr="005403BA">
              <w:rPr>
                <w:sz w:val="18"/>
                <w:szCs w:val="18"/>
              </w:rPr>
              <w:t>Carnarvon</w:t>
            </w:r>
          </w:p>
        </w:tc>
        <w:tc>
          <w:tcPr>
            <w:tcW w:w="1604" w:type="dxa"/>
          </w:tcPr>
          <w:p w14:paraId="513E6B5B" w14:textId="77777777" w:rsidR="00FA7FDB" w:rsidRPr="005403BA" w:rsidRDefault="00000000">
            <w:pPr>
              <w:cnfStyle w:val="000000100000" w:firstRow="0" w:lastRow="0" w:firstColumn="0" w:lastColumn="0" w:oddVBand="0" w:evenVBand="0" w:oddHBand="1" w:evenHBand="0" w:firstRowFirstColumn="0" w:firstRowLastColumn="0" w:lastRowFirstColumn="0" w:lastRowLastColumn="0"/>
            </w:pPr>
            <w:r w:rsidRPr="005403BA">
              <w:rPr>
                <w:sz w:val="18"/>
                <w:szCs w:val="18"/>
              </w:rPr>
              <w:t>4,879</w:t>
            </w:r>
          </w:p>
        </w:tc>
        <w:tc>
          <w:tcPr>
            <w:tcW w:w="2205" w:type="dxa"/>
          </w:tcPr>
          <w:p w14:paraId="62A961E4" w14:textId="77777777" w:rsidR="00FA7FDB" w:rsidRPr="005403BA" w:rsidRDefault="00000000">
            <w:pPr>
              <w:cnfStyle w:val="000000100000" w:firstRow="0" w:lastRow="0" w:firstColumn="0" w:lastColumn="0" w:oddVBand="0" w:evenVBand="0" w:oddHBand="1" w:evenHBand="0" w:firstRowFirstColumn="0" w:firstRowLastColumn="0" w:lastRowFirstColumn="0" w:lastRowLastColumn="0"/>
            </w:pPr>
            <w:r w:rsidRPr="005403BA">
              <w:rPr>
                <w:sz w:val="18"/>
                <w:szCs w:val="18"/>
              </w:rPr>
              <w:t>156</w:t>
            </w:r>
          </w:p>
        </w:tc>
        <w:tc>
          <w:tcPr>
            <w:tcW w:w="2205" w:type="dxa"/>
          </w:tcPr>
          <w:p w14:paraId="171D4DE2" w14:textId="77777777" w:rsidR="00FA7FDB" w:rsidRPr="005403BA" w:rsidRDefault="00000000">
            <w:pPr>
              <w:cnfStyle w:val="000000100000" w:firstRow="0" w:lastRow="0" w:firstColumn="0" w:lastColumn="0" w:oddVBand="0" w:evenVBand="0" w:oddHBand="1" w:evenHBand="0" w:firstRowFirstColumn="0" w:firstRowLastColumn="0" w:lastRowFirstColumn="0" w:lastRowLastColumn="0"/>
            </w:pPr>
            <w:r w:rsidRPr="005403BA">
              <w:rPr>
                <w:sz w:val="18"/>
                <w:szCs w:val="18"/>
              </w:rPr>
              <w:t>2</w:t>
            </w:r>
          </w:p>
        </w:tc>
        <w:tc>
          <w:tcPr>
            <w:tcW w:w="1403" w:type="dxa"/>
          </w:tcPr>
          <w:p w14:paraId="5A4199B6" w14:textId="77777777" w:rsidR="00FA7FDB" w:rsidRPr="005403BA" w:rsidRDefault="00000000">
            <w:pPr>
              <w:cnfStyle w:val="000000100000" w:firstRow="0" w:lastRow="0" w:firstColumn="0" w:lastColumn="0" w:oddVBand="0" w:evenVBand="0" w:oddHBand="1" w:evenHBand="0" w:firstRowFirstColumn="0" w:firstRowLastColumn="0" w:lastRowFirstColumn="0" w:lastRowLastColumn="0"/>
            </w:pPr>
            <w:r w:rsidRPr="005403BA">
              <w:rPr>
                <w:sz w:val="18"/>
                <w:szCs w:val="18"/>
              </w:rPr>
              <w:t>16.9%</w:t>
            </w:r>
          </w:p>
        </w:tc>
      </w:tr>
      <w:tr w:rsidR="005403BA" w:rsidRPr="005403BA" w14:paraId="3372AA17" w14:textId="77777777" w:rsidTr="005403BA">
        <w:trPr>
          <w:trHeight w:val="617"/>
        </w:trPr>
        <w:tc>
          <w:tcPr>
            <w:cnfStyle w:val="001000000000" w:firstRow="0" w:lastRow="0" w:firstColumn="1" w:lastColumn="0" w:oddVBand="0" w:evenVBand="0" w:oddHBand="0" w:evenHBand="0" w:firstRowFirstColumn="0" w:firstRowLastColumn="0" w:lastRowFirstColumn="0" w:lastRowLastColumn="0"/>
            <w:tcW w:w="2606" w:type="dxa"/>
          </w:tcPr>
          <w:p w14:paraId="62952CFD" w14:textId="77777777" w:rsidR="00FA7FDB" w:rsidRPr="005403BA" w:rsidRDefault="00000000">
            <w:r w:rsidRPr="005403BA">
              <w:rPr>
                <w:sz w:val="18"/>
                <w:szCs w:val="18"/>
              </w:rPr>
              <w:t xml:space="preserve">Northampton - </w:t>
            </w:r>
            <w:proofErr w:type="spellStart"/>
            <w:r w:rsidRPr="005403BA">
              <w:rPr>
                <w:sz w:val="18"/>
                <w:szCs w:val="18"/>
              </w:rPr>
              <w:t>Mullewa</w:t>
            </w:r>
            <w:proofErr w:type="spellEnd"/>
            <w:r w:rsidRPr="005403BA">
              <w:rPr>
                <w:sz w:val="18"/>
                <w:szCs w:val="18"/>
              </w:rPr>
              <w:t xml:space="preserve"> - Greenough</w:t>
            </w:r>
          </w:p>
        </w:tc>
        <w:tc>
          <w:tcPr>
            <w:tcW w:w="1604" w:type="dxa"/>
          </w:tcPr>
          <w:p w14:paraId="0FEBD974" w14:textId="77777777" w:rsidR="00FA7FDB" w:rsidRPr="005403BA" w:rsidRDefault="00000000">
            <w:pPr>
              <w:cnfStyle w:val="000000000000" w:firstRow="0" w:lastRow="0" w:firstColumn="0" w:lastColumn="0" w:oddVBand="0" w:evenVBand="0" w:oddHBand="0" w:evenHBand="0" w:firstRowFirstColumn="0" w:firstRowLastColumn="0" w:lastRowFirstColumn="0" w:lastRowLastColumn="0"/>
            </w:pPr>
            <w:r w:rsidRPr="005403BA">
              <w:rPr>
                <w:sz w:val="18"/>
                <w:szCs w:val="18"/>
              </w:rPr>
              <w:t>5,679</w:t>
            </w:r>
          </w:p>
        </w:tc>
        <w:tc>
          <w:tcPr>
            <w:tcW w:w="2205" w:type="dxa"/>
          </w:tcPr>
          <w:p w14:paraId="6601EE10" w14:textId="77777777" w:rsidR="00FA7FDB" w:rsidRPr="005403BA" w:rsidRDefault="00000000">
            <w:pPr>
              <w:cnfStyle w:val="000000000000" w:firstRow="0" w:lastRow="0" w:firstColumn="0" w:lastColumn="0" w:oddVBand="0" w:evenVBand="0" w:oddHBand="0" w:evenHBand="0" w:firstRowFirstColumn="0" w:firstRowLastColumn="0" w:lastRowFirstColumn="0" w:lastRowLastColumn="0"/>
            </w:pPr>
            <w:r w:rsidRPr="005403BA">
              <w:rPr>
                <w:sz w:val="18"/>
                <w:szCs w:val="18"/>
              </w:rPr>
              <w:t>85</w:t>
            </w:r>
          </w:p>
        </w:tc>
        <w:tc>
          <w:tcPr>
            <w:tcW w:w="2205" w:type="dxa"/>
          </w:tcPr>
          <w:p w14:paraId="7316BB1E" w14:textId="77777777" w:rsidR="00FA7FDB" w:rsidRPr="005403BA" w:rsidRDefault="00000000">
            <w:pPr>
              <w:cnfStyle w:val="000000000000" w:firstRow="0" w:lastRow="0" w:firstColumn="0" w:lastColumn="0" w:oddVBand="0" w:evenVBand="0" w:oddHBand="0" w:evenHBand="0" w:firstRowFirstColumn="0" w:firstRowLastColumn="0" w:lastRowFirstColumn="0" w:lastRowLastColumn="0"/>
            </w:pPr>
            <w:r w:rsidRPr="005403BA">
              <w:rPr>
                <w:sz w:val="18"/>
                <w:szCs w:val="18"/>
              </w:rPr>
              <w:t>3</w:t>
            </w:r>
          </w:p>
        </w:tc>
        <w:tc>
          <w:tcPr>
            <w:tcW w:w="1403" w:type="dxa"/>
          </w:tcPr>
          <w:p w14:paraId="4A156FE6" w14:textId="77777777" w:rsidR="00FA7FDB" w:rsidRPr="005403BA" w:rsidRDefault="00000000">
            <w:pPr>
              <w:cnfStyle w:val="000000000000" w:firstRow="0" w:lastRow="0" w:firstColumn="0" w:lastColumn="0" w:oddVBand="0" w:evenVBand="0" w:oddHBand="0" w:evenHBand="0" w:firstRowFirstColumn="0" w:firstRowLastColumn="0" w:lastRowFirstColumn="0" w:lastRowLastColumn="0"/>
            </w:pPr>
            <w:r w:rsidRPr="005403BA">
              <w:rPr>
                <w:sz w:val="18"/>
                <w:szCs w:val="18"/>
              </w:rPr>
              <w:t>23.9%</w:t>
            </w:r>
          </w:p>
        </w:tc>
      </w:tr>
      <w:tr w:rsidR="005403BA" w:rsidRPr="005403BA" w14:paraId="463931FF" w14:textId="77777777" w:rsidTr="005403BA">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2606" w:type="dxa"/>
          </w:tcPr>
          <w:p w14:paraId="50F3FE89" w14:textId="77777777" w:rsidR="00FA7FDB" w:rsidRPr="005403BA" w:rsidRDefault="00000000">
            <w:r w:rsidRPr="005403BA">
              <w:rPr>
                <w:sz w:val="18"/>
                <w:szCs w:val="18"/>
              </w:rPr>
              <w:t>Newman</w:t>
            </w:r>
          </w:p>
        </w:tc>
        <w:tc>
          <w:tcPr>
            <w:tcW w:w="1604" w:type="dxa"/>
          </w:tcPr>
          <w:p w14:paraId="3B78A0DE" w14:textId="77777777" w:rsidR="00FA7FDB" w:rsidRPr="005403BA" w:rsidRDefault="00000000">
            <w:pPr>
              <w:cnfStyle w:val="000000100000" w:firstRow="0" w:lastRow="0" w:firstColumn="0" w:lastColumn="0" w:oddVBand="0" w:evenVBand="0" w:oddHBand="1" w:evenHBand="0" w:firstRowFirstColumn="0" w:firstRowLastColumn="0" w:lastRowFirstColumn="0" w:lastRowLastColumn="0"/>
            </w:pPr>
            <w:r w:rsidRPr="005403BA">
              <w:rPr>
                <w:sz w:val="18"/>
                <w:szCs w:val="18"/>
              </w:rPr>
              <w:t>4,239</w:t>
            </w:r>
          </w:p>
        </w:tc>
        <w:tc>
          <w:tcPr>
            <w:tcW w:w="2205" w:type="dxa"/>
          </w:tcPr>
          <w:p w14:paraId="1DC028FC" w14:textId="77777777" w:rsidR="00FA7FDB" w:rsidRPr="005403BA" w:rsidRDefault="00000000">
            <w:pPr>
              <w:cnfStyle w:val="000000100000" w:firstRow="0" w:lastRow="0" w:firstColumn="0" w:lastColumn="0" w:oddVBand="0" w:evenVBand="0" w:oddHBand="1" w:evenHBand="0" w:firstRowFirstColumn="0" w:firstRowLastColumn="0" w:lastRowFirstColumn="0" w:lastRowLastColumn="0"/>
            </w:pPr>
            <w:r w:rsidRPr="005403BA">
              <w:rPr>
                <w:sz w:val="18"/>
                <w:szCs w:val="18"/>
              </w:rPr>
              <w:t>277</w:t>
            </w:r>
          </w:p>
        </w:tc>
        <w:tc>
          <w:tcPr>
            <w:tcW w:w="2205" w:type="dxa"/>
          </w:tcPr>
          <w:p w14:paraId="6FF11832" w14:textId="77777777" w:rsidR="00FA7FDB" w:rsidRPr="005403BA" w:rsidRDefault="00000000">
            <w:pPr>
              <w:cnfStyle w:val="000000100000" w:firstRow="0" w:lastRow="0" w:firstColumn="0" w:lastColumn="0" w:oddVBand="0" w:evenVBand="0" w:oddHBand="1" w:evenHBand="0" w:firstRowFirstColumn="0" w:firstRowLastColumn="0" w:lastRowFirstColumn="0" w:lastRowLastColumn="0"/>
            </w:pPr>
            <w:r w:rsidRPr="005403BA">
              <w:rPr>
                <w:sz w:val="18"/>
                <w:szCs w:val="18"/>
              </w:rPr>
              <w:t>7</w:t>
            </w:r>
          </w:p>
        </w:tc>
        <w:tc>
          <w:tcPr>
            <w:tcW w:w="1403" w:type="dxa"/>
          </w:tcPr>
          <w:p w14:paraId="0F3A2F67" w14:textId="77777777" w:rsidR="00FA7FDB" w:rsidRPr="005403BA" w:rsidRDefault="00000000">
            <w:pPr>
              <w:cnfStyle w:val="000000100000" w:firstRow="0" w:lastRow="0" w:firstColumn="0" w:lastColumn="0" w:oddVBand="0" w:evenVBand="0" w:oddHBand="1" w:evenHBand="0" w:firstRowFirstColumn="0" w:firstRowLastColumn="0" w:lastRowFirstColumn="0" w:lastRowLastColumn="0"/>
            </w:pPr>
            <w:r w:rsidRPr="005403BA">
              <w:rPr>
                <w:sz w:val="18"/>
                <w:szCs w:val="18"/>
              </w:rPr>
              <w:t>19.8%</w:t>
            </w:r>
          </w:p>
        </w:tc>
      </w:tr>
      <w:tr w:rsidR="005403BA" w:rsidRPr="005403BA" w14:paraId="7EF55393" w14:textId="77777777" w:rsidTr="005403BA">
        <w:trPr>
          <w:trHeight w:val="299"/>
        </w:trPr>
        <w:tc>
          <w:tcPr>
            <w:cnfStyle w:val="001000000000" w:firstRow="0" w:lastRow="0" w:firstColumn="1" w:lastColumn="0" w:oddVBand="0" w:evenVBand="0" w:oddHBand="0" w:evenHBand="0" w:firstRowFirstColumn="0" w:firstRowLastColumn="0" w:lastRowFirstColumn="0" w:lastRowLastColumn="0"/>
            <w:tcW w:w="2606" w:type="dxa"/>
          </w:tcPr>
          <w:p w14:paraId="1B3FEA97" w14:textId="77777777" w:rsidR="00FA7FDB" w:rsidRPr="005403BA" w:rsidRDefault="00000000">
            <w:r w:rsidRPr="005403BA">
              <w:rPr>
                <w:sz w:val="18"/>
                <w:szCs w:val="18"/>
              </w:rPr>
              <w:t>Roebuck</w:t>
            </w:r>
          </w:p>
        </w:tc>
        <w:tc>
          <w:tcPr>
            <w:tcW w:w="1604" w:type="dxa"/>
          </w:tcPr>
          <w:p w14:paraId="7E176C5B" w14:textId="77777777" w:rsidR="00FA7FDB" w:rsidRPr="005403BA" w:rsidRDefault="00000000">
            <w:pPr>
              <w:cnfStyle w:val="000000000000" w:firstRow="0" w:lastRow="0" w:firstColumn="0" w:lastColumn="0" w:oddVBand="0" w:evenVBand="0" w:oddHBand="0" w:evenHBand="0" w:firstRowFirstColumn="0" w:firstRowLastColumn="0" w:lastRowFirstColumn="0" w:lastRowLastColumn="0"/>
            </w:pPr>
            <w:r w:rsidRPr="005403BA">
              <w:rPr>
                <w:sz w:val="18"/>
                <w:szCs w:val="18"/>
              </w:rPr>
              <w:t>2,310</w:t>
            </w:r>
          </w:p>
        </w:tc>
        <w:tc>
          <w:tcPr>
            <w:tcW w:w="2205" w:type="dxa"/>
          </w:tcPr>
          <w:p w14:paraId="63A4E687" w14:textId="77777777" w:rsidR="00FA7FDB" w:rsidRPr="005403BA" w:rsidRDefault="00000000">
            <w:pPr>
              <w:cnfStyle w:val="000000000000" w:firstRow="0" w:lastRow="0" w:firstColumn="0" w:lastColumn="0" w:oddVBand="0" w:evenVBand="0" w:oddHBand="0" w:evenHBand="0" w:firstRowFirstColumn="0" w:firstRowLastColumn="0" w:lastRowFirstColumn="0" w:lastRowLastColumn="0"/>
            </w:pPr>
            <w:r w:rsidRPr="005403BA">
              <w:rPr>
                <w:sz w:val="18"/>
                <w:szCs w:val="18"/>
              </w:rPr>
              <w:t>96</w:t>
            </w:r>
          </w:p>
        </w:tc>
        <w:tc>
          <w:tcPr>
            <w:tcW w:w="2205" w:type="dxa"/>
          </w:tcPr>
          <w:p w14:paraId="482CB278" w14:textId="77777777" w:rsidR="00FA7FDB" w:rsidRPr="005403BA" w:rsidRDefault="00000000">
            <w:pPr>
              <w:cnfStyle w:val="000000000000" w:firstRow="0" w:lastRow="0" w:firstColumn="0" w:lastColumn="0" w:oddVBand="0" w:evenVBand="0" w:oddHBand="0" w:evenHBand="0" w:firstRowFirstColumn="0" w:firstRowLastColumn="0" w:lastRowFirstColumn="0" w:lastRowLastColumn="0"/>
            </w:pPr>
            <w:r w:rsidRPr="005403BA">
              <w:rPr>
                <w:sz w:val="18"/>
                <w:szCs w:val="18"/>
              </w:rPr>
              <w:t>1</w:t>
            </w:r>
          </w:p>
        </w:tc>
        <w:tc>
          <w:tcPr>
            <w:tcW w:w="1403" w:type="dxa"/>
          </w:tcPr>
          <w:p w14:paraId="75C76EDF" w14:textId="77777777" w:rsidR="00FA7FDB" w:rsidRPr="005403BA" w:rsidRDefault="00000000">
            <w:pPr>
              <w:cnfStyle w:val="000000000000" w:firstRow="0" w:lastRow="0" w:firstColumn="0" w:lastColumn="0" w:oddVBand="0" w:evenVBand="0" w:oddHBand="0" w:evenHBand="0" w:firstRowFirstColumn="0" w:firstRowLastColumn="0" w:lastRowFirstColumn="0" w:lastRowLastColumn="0"/>
            </w:pPr>
            <w:r w:rsidRPr="005403BA">
              <w:rPr>
                <w:sz w:val="18"/>
                <w:szCs w:val="18"/>
              </w:rPr>
              <w:t>9.4%</w:t>
            </w:r>
          </w:p>
        </w:tc>
      </w:tr>
      <w:tr w:rsidR="005403BA" w:rsidRPr="005403BA" w14:paraId="149FB4C9" w14:textId="77777777" w:rsidTr="005403BA">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2606" w:type="dxa"/>
          </w:tcPr>
          <w:p w14:paraId="24942444" w14:textId="77777777" w:rsidR="00FA7FDB" w:rsidRPr="005403BA" w:rsidRDefault="00000000">
            <w:r w:rsidRPr="005403BA">
              <w:rPr>
                <w:sz w:val="18"/>
                <w:szCs w:val="18"/>
              </w:rPr>
              <w:t>Esperance Surrounds</w:t>
            </w:r>
          </w:p>
        </w:tc>
        <w:tc>
          <w:tcPr>
            <w:tcW w:w="1604" w:type="dxa"/>
          </w:tcPr>
          <w:p w14:paraId="624013E7" w14:textId="77777777" w:rsidR="00FA7FDB" w:rsidRPr="005403BA" w:rsidRDefault="00000000">
            <w:pPr>
              <w:cnfStyle w:val="000000100000" w:firstRow="0" w:lastRow="0" w:firstColumn="0" w:lastColumn="0" w:oddVBand="0" w:evenVBand="0" w:oddHBand="1" w:evenHBand="0" w:firstRowFirstColumn="0" w:firstRowLastColumn="0" w:lastRowFirstColumn="0" w:lastRowLastColumn="0"/>
            </w:pPr>
            <w:r w:rsidRPr="005403BA">
              <w:rPr>
                <w:sz w:val="18"/>
                <w:szCs w:val="18"/>
              </w:rPr>
              <w:t>3,966</w:t>
            </w:r>
          </w:p>
        </w:tc>
        <w:tc>
          <w:tcPr>
            <w:tcW w:w="2205" w:type="dxa"/>
          </w:tcPr>
          <w:p w14:paraId="4F485E88" w14:textId="77777777" w:rsidR="00FA7FDB" w:rsidRPr="005403BA" w:rsidRDefault="00000000">
            <w:pPr>
              <w:cnfStyle w:val="000000100000" w:firstRow="0" w:lastRow="0" w:firstColumn="0" w:lastColumn="0" w:oddVBand="0" w:evenVBand="0" w:oddHBand="1" w:evenHBand="0" w:firstRowFirstColumn="0" w:firstRowLastColumn="0" w:lastRowFirstColumn="0" w:lastRowLastColumn="0"/>
            </w:pPr>
            <w:r w:rsidRPr="005403BA">
              <w:rPr>
                <w:sz w:val="18"/>
                <w:szCs w:val="18"/>
              </w:rPr>
              <w:t>161</w:t>
            </w:r>
          </w:p>
        </w:tc>
        <w:tc>
          <w:tcPr>
            <w:tcW w:w="2205" w:type="dxa"/>
          </w:tcPr>
          <w:p w14:paraId="265F6A8A" w14:textId="77777777" w:rsidR="00FA7FDB" w:rsidRPr="005403BA" w:rsidRDefault="00000000">
            <w:pPr>
              <w:cnfStyle w:val="000000100000" w:firstRow="0" w:lastRow="0" w:firstColumn="0" w:lastColumn="0" w:oddVBand="0" w:evenVBand="0" w:oddHBand="1" w:evenHBand="0" w:firstRowFirstColumn="0" w:firstRowLastColumn="0" w:lastRowFirstColumn="0" w:lastRowLastColumn="0"/>
            </w:pPr>
            <w:r w:rsidRPr="005403BA">
              <w:rPr>
                <w:sz w:val="18"/>
                <w:szCs w:val="18"/>
              </w:rPr>
              <w:t>6</w:t>
            </w:r>
          </w:p>
        </w:tc>
        <w:tc>
          <w:tcPr>
            <w:tcW w:w="1403" w:type="dxa"/>
          </w:tcPr>
          <w:p w14:paraId="3586EF86" w14:textId="77777777" w:rsidR="00FA7FDB" w:rsidRPr="005403BA" w:rsidRDefault="00000000">
            <w:pPr>
              <w:cnfStyle w:val="000000100000" w:firstRow="0" w:lastRow="0" w:firstColumn="0" w:lastColumn="0" w:oddVBand="0" w:evenVBand="0" w:oddHBand="1" w:evenHBand="0" w:firstRowFirstColumn="0" w:firstRowLastColumn="0" w:lastRowFirstColumn="0" w:lastRowLastColumn="0"/>
            </w:pPr>
            <w:r w:rsidRPr="005403BA">
              <w:rPr>
                <w:sz w:val="18"/>
                <w:szCs w:val="18"/>
              </w:rPr>
              <w:t>28.3%</w:t>
            </w:r>
          </w:p>
        </w:tc>
      </w:tr>
    </w:tbl>
    <w:p w14:paraId="4DE732F9" w14:textId="77777777" w:rsidR="00FA7FDB" w:rsidRPr="005403BA" w:rsidRDefault="00FA7FDB">
      <w:pPr>
        <w:spacing w:after="160"/>
      </w:pPr>
    </w:p>
    <w:p w14:paraId="399B5DE3" w14:textId="64BFBC56" w:rsidR="00FA7FDB" w:rsidRPr="005403BA" w:rsidRDefault="00000000">
      <w:pPr>
        <w:spacing w:after="160"/>
        <w:jc w:val="both"/>
      </w:pPr>
      <w:r w:rsidRPr="005403BA">
        <w:t>An interactive map showing every community, its coverage status, and the recommended sites is provided alongside this report (</w:t>
      </w:r>
      <w:r w:rsidR="005403BA" w:rsidRPr="005403BA">
        <w:rPr>
          <w:i/>
          <w:iCs/>
        </w:rPr>
        <w:t>Refer to the project portfolio</w:t>
      </w:r>
      <w:r w:rsidRPr="005403BA">
        <w:t>).</w:t>
      </w:r>
    </w:p>
    <w:p w14:paraId="186DA8BB" w14:textId="77777777" w:rsidR="00FA7FDB" w:rsidRPr="005403BA" w:rsidRDefault="00000000">
      <w:pPr>
        <w:pStyle w:val="Heading1"/>
        <w:spacing w:before="320" w:after="160"/>
        <w:rPr>
          <w:color w:val="auto"/>
        </w:rPr>
      </w:pPr>
      <w:r w:rsidRPr="005403BA">
        <w:rPr>
          <w:color w:val="auto"/>
        </w:rPr>
        <w:t>5. Limitations</w:t>
      </w:r>
    </w:p>
    <w:p w14:paraId="41EECA8D" w14:textId="77777777" w:rsidR="00FA7FDB" w:rsidRPr="005403BA" w:rsidRDefault="00000000">
      <w:pPr>
        <w:pStyle w:val="ListParagraph"/>
        <w:numPr>
          <w:ilvl w:val="0"/>
          <w:numId w:val="2"/>
        </w:numPr>
        <w:spacing w:after="80"/>
      </w:pPr>
      <w:r w:rsidRPr="005403BA">
        <w:t>Road-network distance is approximated via a fixed 1.3x circuity factor applied to straight-line distance, not true routed driving distance. This is defensible and standard for state-scale analysis, but a real routing API (e.g. OSRM) would refine it further, especially in areas with significant natural barriers such as rivers and ranges.</w:t>
      </w:r>
    </w:p>
    <w:p w14:paraId="00DD5B0B" w14:textId="77777777" w:rsidR="00FA7FDB" w:rsidRPr="005403BA" w:rsidRDefault="00000000">
      <w:pPr>
        <w:pStyle w:val="ListParagraph"/>
        <w:numPr>
          <w:ilvl w:val="0"/>
          <w:numId w:val="2"/>
        </w:numPr>
        <w:spacing w:after="80"/>
      </w:pPr>
      <w:r w:rsidRPr="005403BA">
        <w:t>Six large, sparsely populated Kimberley/Pilbara/Goldfields SA2s (flagged in the data) still rely on an unadjusted geometric centroid, since no same-named CRC existed to snap to. ABS's official population-weighted centroid product would resolve this fully.</w:t>
      </w:r>
    </w:p>
    <w:p w14:paraId="46FA63FA" w14:textId="77777777" w:rsidR="00FA7FDB" w:rsidRPr="005403BA" w:rsidRDefault="00000000">
      <w:pPr>
        <w:pStyle w:val="ListParagraph"/>
        <w:numPr>
          <w:ilvl w:val="0"/>
          <w:numId w:val="2"/>
        </w:numPr>
        <w:spacing w:after="80"/>
      </w:pPr>
      <w:r w:rsidRPr="005403BA">
        <w:t>Voluntary work rate is a reasonable but imperfect proxy for existing engagement: it captures formal volunteering only, not informal community participation.</w:t>
      </w:r>
    </w:p>
    <w:p w14:paraId="0EDA4365" w14:textId="77777777" w:rsidR="00FA7FDB" w:rsidRPr="005403BA" w:rsidRDefault="00000000">
      <w:pPr>
        <w:pStyle w:val="ListParagraph"/>
        <w:numPr>
          <w:ilvl w:val="0"/>
          <w:numId w:val="2"/>
        </w:numPr>
        <w:spacing w:after="80"/>
      </w:pPr>
      <w:r w:rsidRPr="005403BA">
        <w:t>The 50km service radius and 1-3x equity multiplier range are defensible, literature-consistent choices, not the only valid ones. The notebook's sensitivity analysis can be re-run against alternative values in minutes.</w:t>
      </w:r>
    </w:p>
    <w:p w14:paraId="665822E6" w14:textId="77777777" w:rsidR="00FA7FDB" w:rsidRPr="005403BA" w:rsidRDefault="00000000">
      <w:pPr>
        <w:pStyle w:val="Heading1"/>
        <w:spacing w:before="320" w:after="160"/>
        <w:rPr>
          <w:color w:val="auto"/>
        </w:rPr>
      </w:pPr>
      <w:r w:rsidRPr="005403BA">
        <w:rPr>
          <w:color w:val="auto"/>
        </w:rPr>
        <w:t>6. Conclusion</w:t>
      </w:r>
    </w:p>
    <w:p w14:paraId="5E3FCE02" w14:textId="77777777" w:rsidR="00FA7FDB" w:rsidRPr="005403BA" w:rsidRDefault="00000000">
      <w:pPr>
        <w:spacing w:after="160"/>
        <w:jc w:val="both"/>
      </w:pPr>
      <w:r w:rsidRPr="005403BA">
        <w:t>This model turns a genuinely hard combinatorial question, which of 76 real communities should share a limited facility budget, into a mixed-integer program solved to proven optimality in under a second, using entirely real, cited, government data. The five-site Phase 1 recommendation offers the strongest possible first move for a constrained budget; the sixteen-site full rollout represents the point of total, complete closure of the equity-weighted service gap across regional Western Australia.</w:t>
      </w:r>
    </w:p>
    <w:sectPr w:rsidR="00FA7FDB" w:rsidRPr="005403BA">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C01E8E"/>
    <w:multiLevelType w:val="hybridMultilevel"/>
    <w:tmpl w:val="D62CF276"/>
    <w:lvl w:ilvl="0" w:tplc="3900142A">
      <w:start w:val="1"/>
      <w:numFmt w:val="bullet"/>
      <w:lvlText w:val="•"/>
      <w:lvlJc w:val="left"/>
      <w:pPr>
        <w:ind w:left="480" w:hanging="260"/>
      </w:pPr>
    </w:lvl>
    <w:lvl w:ilvl="1" w:tplc="FD6EFC7E">
      <w:numFmt w:val="decimal"/>
      <w:lvlText w:val=""/>
      <w:lvlJc w:val="left"/>
    </w:lvl>
    <w:lvl w:ilvl="2" w:tplc="09BAA258">
      <w:numFmt w:val="decimal"/>
      <w:lvlText w:val=""/>
      <w:lvlJc w:val="left"/>
    </w:lvl>
    <w:lvl w:ilvl="3" w:tplc="9C1E9B64">
      <w:numFmt w:val="decimal"/>
      <w:lvlText w:val=""/>
      <w:lvlJc w:val="left"/>
    </w:lvl>
    <w:lvl w:ilvl="4" w:tplc="BAC49926">
      <w:numFmt w:val="decimal"/>
      <w:lvlText w:val=""/>
      <w:lvlJc w:val="left"/>
    </w:lvl>
    <w:lvl w:ilvl="5" w:tplc="BDE69F4E">
      <w:numFmt w:val="decimal"/>
      <w:lvlText w:val=""/>
      <w:lvlJc w:val="left"/>
    </w:lvl>
    <w:lvl w:ilvl="6" w:tplc="F9DE6496">
      <w:numFmt w:val="decimal"/>
      <w:lvlText w:val=""/>
      <w:lvlJc w:val="left"/>
    </w:lvl>
    <w:lvl w:ilvl="7" w:tplc="638C5EFA">
      <w:numFmt w:val="decimal"/>
      <w:lvlText w:val=""/>
      <w:lvlJc w:val="left"/>
    </w:lvl>
    <w:lvl w:ilvl="8" w:tplc="031CB492">
      <w:numFmt w:val="decimal"/>
      <w:lvlText w:val=""/>
      <w:lvlJc w:val="left"/>
    </w:lvl>
  </w:abstractNum>
  <w:abstractNum w:abstractNumId="1" w15:restartNumberingAfterBreak="0">
    <w:nsid w:val="644C024B"/>
    <w:multiLevelType w:val="hybridMultilevel"/>
    <w:tmpl w:val="575245D6"/>
    <w:lvl w:ilvl="0" w:tplc="9314FA10">
      <w:start w:val="1"/>
      <w:numFmt w:val="bullet"/>
      <w:lvlText w:val="●"/>
      <w:lvlJc w:val="left"/>
      <w:pPr>
        <w:ind w:left="720" w:hanging="360"/>
      </w:pPr>
    </w:lvl>
    <w:lvl w:ilvl="1" w:tplc="D27C60FC">
      <w:start w:val="1"/>
      <w:numFmt w:val="bullet"/>
      <w:lvlText w:val="○"/>
      <w:lvlJc w:val="left"/>
      <w:pPr>
        <w:ind w:left="1440" w:hanging="360"/>
      </w:pPr>
    </w:lvl>
    <w:lvl w:ilvl="2" w:tplc="3CF883CE">
      <w:start w:val="1"/>
      <w:numFmt w:val="bullet"/>
      <w:lvlText w:val="■"/>
      <w:lvlJc w:val="left"/>
      <w:pPr>
        <w:ind w:left="2160" w:hanging="360"/>
      </w:pPr>
    </w:lvl>
    <w:lvl w:ilvl="3" w:tplc="E0C0EACA">
      <w:start w:val="1"/>
      <w:numFmt w:val="bullet"/>
      <w:lvlText w:val="●"/>
      <w:lvlJc w:val="left"/>
      <w:pPr>
        <w:ind w:left="2880" w:hanging="360"/>
      </w:pPr>
    </w:lvl>
    <w:lvl w:ilvl="4" w:tplc="CD92034E">
      <w:start w:val="1"/>
      <w:numFmt w:val="bullet"/>
      <w:lvlText w:val="○"/>
      <w:lvlJc w:val="left"/>
      <w:pPr>
        <w:ind w:left="3600" w:hanging="360"/>
      </w:pPr>
    </w:lvl>
    <w:lvl w:ilvl="5" w:tplc="3E385AA4">
      <w:start w:val="1"/>
      <w:numFmt w:val="bullet"/>
      <w:lvlText w:val="■"/>
      <w:lvlJc w:val="left"/>
      <w:pPr>
        <w:ind w:left="4320" w:hanging="360"/>
      </w:pPr>
    </w:lvl>
    <w:lvl w:ilvl="6" w:tplc="A028ACB4">
      <w:start w:val="1"/>
      <w:numFmt w:val="bullet"/>
      <w:lvlText w:val="●"/>
      <w:lvlJc w:val="left"/>
      <w:pPr>
        <w:ind w:left="5040" w:hanging="360"/>
      </w:pPr>
    </w:lvl>
    <w:lvl w:ilvl="7" w:tplc="037C0C68">
      <w:start w:val="1"/>
      <w:numFmt w:val="bullet"/>
      <w:lvlText w:val="●"/>
      <w:lvlJc w:val="left"/>
      <w:pPr>
        <w:ind w:left="5760" w:hanging="360"/>
      </w:pPr>
    </w:lvl>
    <w:lvl w:ilvl="8" w:tplc="59E62F14">
      <w:start w:val="1"/>
      <w:numFmt w:val="bullet"/>
      <w:lvlText w:val="●"/>
      <w:lvlJc w:val="left"/>
      <w:pPr>
        <w:ind w:left="6480" w:hanging="360"/>
      </w:pPr>
    </w:lvl>
  </w:abstractNum>
  <w:num w:numId="1" w16cid:durableId="461656443">
    <w:abstractNumId w:val="1"/>
    <w:lvlOverride w:ilvl="0">
      <w:startOverride w:val="1"/>
    </w:lvlOverride>
  </w:num>
  <w:num w:numId="2" w16cid:durableId="9715976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FDB"/>
    <w:rsid w:val="005403BA"/>
    <w:rsid w:val="00A95D01"/>
    <w:rsid w:val="00FA7F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B00A2"/>
  <w15:docId w15:val="{87B14078-F2EC-4340-94EF-D19FB6D91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PlainTable3">
    <w:name w:val="Plain Table 3"/>
    <w:basedOn w:val="TableNormal"/>
    <w:uiPriority w:val="43"/>
    <w:rsid w:val="005403B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5403B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1969</Words>
  <Characters>11226</Characters>
  <Application>Microsoft Office Word</Application>
  <DocSecurity>0</DocSecurity>
  <Lines>93</Lines>
  <Paragraphs>26</Paragraphs>
  <ScaleCrop>false</ScaleCrop>
  <Company/>
  <LinksUpToDate>false</LinksUpToDate>
  <CharactersWithSpaces>13169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Joel Kotturi (24517728)</cp:lastModifiedBy>
  <cp:revision>2</cp:revision>
  <dcterms:created xsi:type="dcterms:W3CDTF">2026-08-01T12:53:00Z</dcterms:created>
  <dcterms:modified xsi:type="dcterms:W3CDTF">2026-08-08T10:22:00Z</dcterms:modified>
</cp:coreProperties>
</file>