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8A6B7E" w14:textId="77777777" w:rsidR="00DB7672" w:rsidRDefault="00DB7672">
      <w:pPr>
        <w:spacing w:before="1600"/>
      </w:pPr>
    </w:p>
    <w:p w14:paraId="0C4AAD59" w14:textId="77777777" w:rsidR="00DB7672" w:rsidRDefault="00000000">
      <w:pPr>
        <w:jc w:val="center"/>
      </w:pPr>
      <w:r>
        <w:rPr>
          <w:b/>
          <w:bCs/>
          <w:color w:val="000000"/>
          <w:sz w:val="52"/>
          <w:szCs w:val="52"/>
        </w:rPr>
        <w:t>Credit Risk Pricing Model</w:t>
      </w:r>
    </w:p>
    <w:p w14:paraId="27E8EA61" w14:textId="77777777" w:rsidR="00DB7672" w:rsidRDefault="00000000">
      <w:pPr>
        <w:spacing w:before="200" w:after="100"/>
        <w:jc w:val="center"/>
      </w:pPr>
      <w:r>
        <w:rPr>
          <w:color w:val="404040"/>
          <w:sz w:val="30"/>
          <w:szCs w:val="30"/>
        </w:rPr>
        <w:t>A Business Analytics Case Study</w:t>
      </w:r>
    </w:p>
    <w:p w14:paraId="2D7443D0" w14:textId="77777777" w:rsidR="00DB7672" w:rsidRDefault="00000000">
      <w:pPr>
        <w:pBdr>
          <w:bottom w:val="single" w:sz="8" w:space="10" w:color="000000"/>
        </w:pBdr>
        <w:spacing w:before="100"/>
        <w:jc w:val="center"/>
      </w:pPr>
      <w:r>
        <w:rPr>
          <w:sz w:val="4"/>
          <w:szCs w:val="4"/>
        </w:rPr>
        <w:t xml:space="preserve"> </w:t>
      </w:r>
    </w:p>
    <w:p w14:paraId="605A3B5B" w14:textId="77777777" w:rsidR="00DB7672" w:rsidRDefault="00000000">
      <w:pPr>
        <w:spacing w:before="500"/>
        <w:jc w:val="center"/>
      </w:pPr>
      <w:r>
        <w:rPr>
          <w:i/>
          <w:iCs/>
          <w:color w:val="595959"/>
        </w:rPr>
        <w:t>Predicting serious delinquency risk and turning it into approve / decline and pricing decisions</w:t>
      </w:r>
    </w:p>
    <w:p w14:paraId="00A40620" w14:textId="77777777" w:rsidR="00DB7672" w:rsidRDefault="00000000">
      <w:pPr>
        <w:spacing w:before="900"/>
        <w:jc w:val="center"/>
      </w:pPr>
      <w:r>
        <w:t>Prepared by Joel Kotturi</w:t>
      </w:r>
    </w:p>
    <w:p w14:paraId="2F8BBAF7" w14:textId="77777777" w:rsidR="00DB7672" w:rsidRDefault="00000000">
      <w:pPr>
        <w:spacing w:before="80"/>
        <w:jc w:val="center"/>
      </w:pPr>
      <w:r>
        <w:rPr>
          <w:color w:val="808080"/>
          <w:sz w:val="20"/>
          <w:szCs w:val="20"/>
        </w:rPr>
        <w:t>September 11, 2026</w:t>
      </w:r>
    </w:p>
    <w:p w14:paraId="1E905832" w14:textId="77777777" w:rsidR="00DB7672" w:rsidRDefault="00000000">
      <w:pPr>
        <w:pageBreakBefore/>
      </w:pPr>
      <w:r>
        <w:lastRenderedPageBreak/>
        <w:br/>
      </w:r>
    </w:p>
    <w:p w14:paraId="22943990" w14:textId="77777777" w:rsidR="00DB7672" w:rsidRDefault="00000000">
      <w:pPr>
        <w:pStyle w:val="Heading1"/>
        <w:pBdr>
          <w:bottom w:val="single" w:sz="6" w:space="4" w:color="000000"/>
        </w:pBdr>
        <w:spacing w:before="360" w:after="160"/>
      </w:pPr>
      <w:r>
        <w:rPr>
          <w:b/>
          <w:bCs/>
          <w:color w:val="000000"/>
          <w:sz w:val="30"/>
          <w:szCs w:val="30"/>
        </w:rPr>
        <w:t>Executive Summary</w:t>
      </w:r>
    </w:p>
    <w:p w14:paraId="2B711EC5" w14:textId="77777777" w:rsidR="00DB7672" w:rsidRDefault="00000000">
      <w:pPr>
        <w:spacing w:after="180" w:line="288" w:lineRule="auto"/>
      </w:pPr>
      <w:r>
        <w:t>When a lender receives a loan application, it has to make two decisions: should this person be approved, and if so, what interest rate should they be charged? Both decisions depend on one thing: how likely is this applicant to fall seriously behind on payments? This case study builds a model that estimates that likelihood, and then shows how a bank could turn that estimate into an actual approve, decline, and pricing decision.</w:t>
      </w:r>
    </w:p>
    <w:p w14:paraId="2DB63868" w14:textId="77777777" w:rsidR="00DB7672" w:rsidRDefault="00000000">
      <w:pPr>
        <w:spacing w:after="180" w:line="288" w:lineRule="auto"/>
      </w:pPr>
      <w:r>
        <w:t>The analysis uses a public dataset of 150,000 anonymized U.S. consumer credit records, where about 6.7% of applicants went on to become seriously delinquent (90 or more days past due) within two years. Two prediction models were built and compared: a logistic regression, which is simple and easy to explain, and a gradient boosting model, which is more complex but usually more accurate. The gradient boosting model came out ahead on every metric tested.</w:t>
      </w:r>
    </w:p>
    <w:p w14:paraId="429EBEE4" w14:textId="77777777" w:rsidR="00DB7672" w:rsidRDefault="00000000">
      <w:pPr>
        <w:spacing w:after="180" w:line="288" w:lineRule="auto"/>
      </w:pPr>
      <w:r>
        <w:t xml:space="preserve">The headline result: switching from the logistic regression model to the gradient boosting model reduces estimated cost by </w:t>
      </w:r>
      <w:r>
        <w:rPr>
          <w:b/>
          <w:bCs/>
        </w:rPr>
        <w:t>$72,556 per 10,000 applicants</w:t>
      </w:r>
      <w:r>
        <w:t xml:space="preserve"> under the stated cost assumptions, while simultaneously approving </w:t>
      </w:r>
      <w:r>
        <w:rPr>
          <w:i/>
          <w:iCs/>
        </w:rPr>
        <w:t>more</w:t>
      </w:r>
      <w:r>
        <w:t xml:space="preserve"> applicants (79.1% approved, versus 76.7%). A better model does not just cut losses. It </w:t>
      </w:r>
      <w:proofErr w:type="gramStart"/>
      <w:r>
        <w:t>lets</w:t>
      </w:r>
      <w:proofErr w:type="gramEnd"/>
      <w:r>
        <w:t xml:space="preserve"> the bank say yes to more people, because it is better at telling good and bad applicants apart.</w:t>
      </w:r>
    </w:p>
    <w:p w14:paraId="5F0E0F80" w14:textId="77777777" w:rsidR="00DB7672" w:rsidRDefault="00000000">
      <w:pPr>
        <w:spacing w:after="180" w:line="288" w:lineRule="auto"/>
      </w:pPr>
      <w:r>
        <w:t>Beyond the two models, the case study covers four things a real analytics role would touch: cleaning and preparing raw data, hosting and querying that data in a cloud SQL database (Microsoft Azure), translating a model's output into a tiered pricing table in Excel, and communicating the results with charts built for a business audience rather than a technical one.</w:t>
      </w:r>
    </w:p>
    <w:p w14:paraId="39757B6A" w14:textId="77777777" w:rsidR="00DB7672" w:rsidRDefault="00000000">
      <w:pPr>
        <w:pStyle w:val="Heading1"/>
        <w:pBdr>
          <w:bottom w:val="single" w:sz="6" w:space="4" w:color="000000"/>
        </w:pBdr>
        <w:spacing w:before="360" w:after="160"/>
      </w:pPr>
      <w:r>
        <w:rPr>
          <w:b/>
          <w:bCs/>
          <w:color w:val="000000"/>
          <w:sz w:val="30"/>
          <w:szCs w:val="30"/>
        </w:rPr>
        <w:t>The Business Problem</w:t>
      </w:r>
    </w:p>
    <w:p w14:paraId="6B0C6A25" w14:textId="77777777" w:rsidR="00DB7672" w:rsidRDefault="00000000">
      <w:pPr>
        <w:spacing w:after="180" w:line="288" w:lineRule="auto"/>
      </w:pPr>
      <w:r>
        <w:t>Consumer lenders approve millions of credit applications a year, and every approval carries a risk: some share of approved applicants will not pay the money back. A lender that approves everyone loses money on defaults. A lender that declines too aggressively loses good customers and the profit they would have generated. The real decision is not “should we lend to this type of person in general.” It is “what is the risk on this specific applicant, and does that risk justify approval, and at what price.”</w:t>
      </w:r>
    </w:p>
    <w:p w14:paraId="56510912" w14:textId="77777777" w:rsidR="00DB7672" w:rsidRDefault="00000000">
      <w:pPr>
        <w:spacing w:after="180" w:line="288" w:lineRule="auto"/>
      </w:pPr>
      <w:r>
        <w:t>This case study treats that as a three-part analytics problem. First, predict each applicant's risk of serious delinquency using the information available at the time they apply. Second, decide on a cutoff: above what predicted risk should an applicant simply be declined. Third, for applicants who are approved, organize them into a small number of pricing tiers, so a higher-risk approved applicant is charged a higher rate to offset the extra risk.</w:t>
      </w:r>
    </w:p>
    <w:p w14:paraId="7DD5ECA6" w14:textId="77777777" w:rsidR="00DB7672" w:rsidRDefault="00000000">
      <w:pPr>
        <w:pStyle w:val="Heading1"/>
        <w:pBdr>
          <w:bottom w:val="single" w:sz="6" w:space="4" w:color="000000"/>
        </w:pBdr>
        <w:spacing w:before="360" w:after="160"/>
      </w:pPr>
      <w:r>
        <w:rPr>
          <w:b/>
          <w:bCs/>
          <w:color w:val="000000"/>
          <w:sz w:val="30"/>
          <w:szCs w:val="30"/>
        </w:rPr>
        <w:lastRenderedPageBreak/>
        <w:t>The Data</w:t>
      </w:r>
    </w:p>
    <w:p w14:paraId="12E498D7" w14:textId="77777777" w:rsidR="00DB7672" w:rsidRDefault="00000000">
      <w:pPr>
        <w:spacing w:after="180" w:line="288" w:lineRule="auto"/>
      </w:pPr>
      <w:r>
        <w:t>The dataset is “Give Me Some Credit,” a public dataset of 150,000 anonymized U.S. consumer credit records, originally released for a Kaggle competition. Each row is one applicant, described by ten financial and demographic variables: things like age, monthly income, how many credit lines they have open, how many times they have been late on a payment before, and how much of their available revolving credit they are currently using. The target variable is whether that applicant became seriously delinquent (90 or more days past due) within the following two years.</w:t>
      </w:r>
    </w:p>
    <w:p w14:paraId="66C81F62" w14:textId="77777777" w:rsidR="00DB7672" w:rsidRDefault="00000000">
      <w:pPr>
        <w:pStyle w:val="Heading2"/>
        <w:spacing w:before="260" w:after="120"/>
      </w:pPr>
      <w:r>
        <w:rPr>
          <w:b/>
          <w:bCs/>
          <w:color w:val="404040"/>
          <w:sz w:val="24"/>
          <w:szCs w:val="24"/>
        </w:rPr>
        <w:t>Cleaning the Data</w:t>
      </w:r>
    </w:p>
    <w:p w14:paraId="2668E40B" w14:textId="77777777" w:rsidR="00DB7672" w:rsidRDefault="00000000">
      <w:pPr>
        <w:spacing w:after="180" w:line="288" w:lineRule="auto"/>
      </w:pPr>
      <w:r>
        <w:t>Raw data is rarely usable as-is, and this dataset was no exception. Four issues were identified and corrected before any modeling began:</w:t>
      </w:r>
    </w:p>
    <w:p w14:paraId="210153FD" w14:textId="77777777" w:rsidR="00DB7672" w:rsidRDefault="00000000">
      <w:pPr>
        <w:pStyle w:val="ListParagraph"/>
        <w:numPr>
          <w:ilvl w:val="0"/>
          <w:numId w:val="2"/>
        </w:numPr>
        <w:spacing w:after="100" w:line="276" w:lineRule="auto"/>
      </w:pPr>
      <w:r>
        <w:t>One applicant was recorded with an age of 0, which is not a valid age, so this row was treated as a data error.</w:t>
      </w:r>
    </w:p>
    <w:p w14:paraId="4AFFCA28" w14:textId="77777777" w:rsidR="00DB7672" w:rsidRDefault="00000000">
      <w:pPr>
        <w:pStyle w:val="ListParagraph"/>
        <w:numPr>
          <w:ilvl w:val="0"/>
          <w:numId w:val="2"/>
        </w:numPr>
        <w:spacing w:after="100" w:line="276" w:lineRule="auto"/>
      </w:pPr>
      <w:r>
        <w:t>Three columns that count late payments used the placeholder codes 96 and 98 in place of a small number of records, rather than real counts. These were capped and flagged with an indicator column rather than treated as genuine high counts.</w:t>
      </w:r>
    </w:p>
    <w:p w14:paraId="51FB31AE" w14:textId="77777777" w:rsidR="00DB7672" w:rsidRDefault="00000000">
      <w:pPr>
        <w:pStyle w:val="ListParagraph"/>
        <w:numPr>
          <w:ilvl w:val="0"/>
          <w:numId w:val="2"/>
        </w:numPr>
        <w:spacing w:after="100" w:line="276" w:lineRule="auto"/>
      </w:pPr>
      <w:r>
        <w:t>About 20% of applicants had no reported monthly income. Rather than deleting a fifth of the dataset, missing values were filled in with the median income, and a flag column records which rows were imputed this way, so the model can learn that “income not reported” is itself a signal.</w:t>
      </w:r>
    </w:p>
    <w:p w14:paraId="2CADAF30" w14:textId="77777777" w:rsidR="00DB7672" w:rsidRDefault="00000000">
      <w:pPr>
        <w:pStyle w:val="ListParagraph"/>
        <w:numPr>
          <w:ilvl w:val="0"/>
          <w:numId w:val="2"/>
        </w:numPr>
        <w:spacing w:after="100" w:line="276" w:lineRule="auto"/>
      </w:pPr>
      <w:r>
        <w:t>Two columns, debt ratio and revolving utilization, had extreme outlier values (some over 100 times a typical value) that would have distorted the model. These were capped (</w:t>
      </w:r>
      <w:proofErr w:type="spellStart"/>
      <w:r>
        <w:t>winsorized</w:t>
      </w:r>
      <w:proofErr w:type="spellEnd"/>
      <w:r>
        <w:t>) at the 99th percentile, again with a flag column marking which rows were adjusted.</w:t>
      </w:r>
    </w:p>
    <w:p w14:paraId="1E268926" w14:textId="77777777" w:rsidR="00DB7672" w:rsidRDefault="00000000">
      <w:pPr>
        <w:pBdr>
          <w:left w:val="single" w:sz="18" w:space="8" w:color="404040"/>
        </w:pBdr>
        <w:shd w:val="clear" w:color="auto" w:fill="F2F2F0"/>
        <w:spacing w:before="100" w:after="240"/>
        <w:ind w:left="120"/>
      </w:pPr>
      <w:r>
        <w:rPr>
          <w:i/>
          <w:iCs/>
          <w:color w:val="404040"/>
          <w:sz w:val="20"/>
          <w:szCs w:val="20"/>
        </w:rPr>
        <w:t xml:space="preserve">Note: every cleaning decision above is preserved as its own indicator column in the dataset (for example, </w:t>
      </w:r>
      <w:proofErr w:type="spellStart"/>
      <w:r>
        <w:rPr>
          <w:i/>
          <w:iCs/>
          <w:color w:val="404040"/>
          <w:sz w:val="20"/>
          <w:szCs w:val="20"/>
        </w:rPr>
        <w:t>income_not_reported</w:t>
      </w:r>
      <w:proofErr w:type="spellEnd"/>
      <w:r>
        <w:rPr>
          <w:i/>
          <w:iCs/>
          <w:color w:val="404040"/>
          <w:sz w:val="20"/>
          <w:szCs w:val="20"/>
        </w:rPr>
        <w:t>), rather than silently overwriting the original data. This keeps the cleaning process transparent and lets the model use “was this value estimated” as information in its own right.</w:t>
      </w:r>
    </w:p>
    <w:p w14:paraId="40A4B094" w14:textId="77777777" w:rsidR="005923E3" w:rsidRDefault="005923E3">
      <w:pPr>
        <w:pStyle w:val="Heading1"/>
        <w:pBdr>
          <w:bottom w:val="single" w:sz="6" w:space="4" w:color="000000"/>
        </w:pBdr>
        <w:spacing w:before="360" w:after="160"/>
        <w:rPr>
          <w:b/>
          <w:bCs/>
          <w:color w:val="000000"/>
          <w:sz w:val="30"/>
          <w:szCs w:val="30"/>
        </w:rPr>
      </w:pPr>
    </w:p>
    <w:p w14:paraId="529B762B" w14:textId="77777777" w:rsidR="005923E3" w:rsidRDefault="005923E3">
      <w:pPr>
        <w:pStyle w:val="Heading1"/>
        <w:pBdr>
          <w:bottom w:val="single" w:sz="6" w:space="4" w:color="000000"/>
        </w:pBdr>
        <w:spacing w:before="360" w:after="160"/>
        <w:rPr>
          <w:b/>
          <w:bCs/>
          <w:color w:val="000000"/>
          <w:sz w:val="30"/>
          <w:szCs w:val="30"/>
        </w:rPr>
      </w:pPr>
    </w:p>
    <w:p w14:paraId="7A92E3FC" w14:textId="77777777" w:rsidR="005923E3" w:rsidRDefault="005923E3">
      <w:pPr>
        <w:pStyle w:val="Heading1"/>
        <w:pBdr>
          <w:bottom w:val="single" w:sz="6" w:space="4" w:color="000000"/>
        </w:pBdr>
        <w:spacing w:before="360" w:after="160"/>
        <w:rPr>
          <w:b/>
          <w:bCs/>
          <w:color w:val="000000"/>
          <w:sz w:val="30"/>
          <w:szCs w:val="30"/>
        </w:rPr>
      </w:pPr>
    </w:p>
    <w:p w14:paraId="0FBCFD6B" w14:textId="77777777" w:rsidR="005923E3" w:rsidRDefault="005923E3">
      <w:pPr>
        <w:pStyle w:val="Heading1"/>
        <w:pBdr>
          <w:bottom w:val="single" w:sz="6" w:space="4" w:color="000000"/>
        </w:pBdr>
        <w:spacing w:before="360" w:after="160"/>
        <w:rPr>
          <w:b/>
          <w:bCs/>
          <w:color w:val="000000"/>
          <w:sz w:val="30"/>
          <w:szCs w:val="30"/>
        </w:rPr>
      </w:pPr>
    </w:p>
    <w:p w14:paraId="604D9602" w14:textId="77777777" w:rsidR="005923E3" w:rsidRDefault="005923E3">
      <w:pPr>
        <w:pStyle w:val="Heading1"/>
        <w:pBdr>
          <w:bottom w:val="single" w:sz="6" w:space="4" w:color="000000"/>
        </w:pBdr>
        <w:spacing w:before="360" w:after="160"/>
        <w:rPr>
          <w:b/>
          <w:bCs/>
          <w:color w:val="000000"/>
          <w:sz w:val="30"/>
          <w:szCs w:val="30"/>
        </w:rPr>
      </w:pPr>
    </w:p>
    <w:p w14:paraId="47683FEF" w14:textId="5BA4E763" w:rsidR="00DB7672" w:rsidRDefault="00000000">
      <w:pPr>
        <w:pStyle w:val="Heading1"/>
        <w:pBdr>
          <w:bottom w:val="single" w:sz="6" w:space="4" w:color="000000"/>
        </w:pBdr>
        <w:spacing w:before="360" w:after="160"/>
      </w:pPr>
      <w:r>
        <w:rPr>
          <w:b/>
          <w:bCs/>
          <w:color w:val="000000"/>
          <w:sz w:val="30"/>
          <w:szCs w:val="30"/>
        </w:rPr>
        <w:lastRenderedPageBreak/>
        <w:t>Exploratory Analysis: What Actually Predicts Risk</w:t>
      </w:r>
    </w:p>
    <w:p w14:paraId="05699875" w14:textId="77777777" w:rsidR="00DB7672" w:rsidRDefault="00000000">
      <w:pPr>
        <w:spacing w:after="180" w:line="288" w:lineRule="auto"/>
      </w:pPr>
      <w:r>
        <w:t>Before building a model, it helps to confirm that the raw data actually contains a usable signal: that the applicants who go delinquent look meaningfully different from the ones who do not. The cleaned dataset (149,999 rows after the one bad record was removed) was loaded into a Microsoft Azure SQL Database, and the two clearest risk patterns were both independently verified using SQL queries run directly against that cloud database, rather than a spreadsheet.</w:t>
      </w:r>
    </w:p>
    <w:p w14:paraId="3F0A71CF" w14:textId="77777777" w:rsidR="00DB7672" w:rsidRDefault="00000000">
      <w:pPr>
        <w:pStyle w:val="Heading2"/>
        <w:spacing w:before="260" w:after="120"/>
      </w:pPr>
      <w:r>
        <w:rPr>
          <w:b/>
          <w:bCs/>
          <w:color w:val="404040"/>
          <w:sz w:val="24"/>
          <w:szCs w:val="24"/>
        </w:rPr>
        <w:t>Cloud Database Setup</w:t>
      </w:r>
    </w:p>
    <w:p w14:paraId="0EBCD99C" w14:textId="77777777" w:rsidR="00DB7672" w:rsidRDefault="00000000">
      <w:pPr>
        <w:spacing w:after="180" w:line="288" w:lineRule="auto"/>
      </w:pPr>
      <w:r>
        <w:t xml:space="preserve">A SQL Server instance was provisioned on Azure (serverless tier, with auto-pause enabled to control cost when idle), a table named </w:t>
      </w:r>
      <w:proofErr w:type="spellStart"/>
      <w:proofErr w:type="gramStart"/>
      <w:r>
        <w:t>dbo.credit</w:t>
      </w:r>
      <w:proofErr w:type="gramEnd"/>
      <w:r>
        <w:t>_applicants</w:t>
      </w:r>
      <w:proofErr w:type="spellEnd"/>
      <w:r>
        <w:t xml:space="preserve"> was created matching the cleaned dataset's structure, and all 149,999 rows were loaded using a Python script with batched inserts. From that point on, the queries below were written and run directly against that cloud table using T-SQL.</w:t>
      </w:r>
    </w:p>
    <w:p w14:paraId="7DF4ED1E" w14:textId="77777777" w:rsidR="00DB7672" w:rsidRDefault="00000000">
      <w:pPr>
        <w:pStyle w:val="Heading2"/>
        <w:spacing w:before="260" w:after="120"/>
      </w:pPr>
      <w:r>
        <w:rPr>
          <w:b/>
          <w:bCs/>
          <w:color w:val="404040"/>
          <w:sz w:val="24"/>
          <w:szCs w:val="24"/>
        </w:rPr>
        <w:t>Finding 1: Revolving Utilization Is the Strongest Single Signal</w:t>
      </w:r>
    </w:p>
    <w:p w14:paraId="383981A0" w14:textId="77777777" w:rsidR="00DB7672" w:rsidRDefault="00000000">
      <w:pPr>
        <w:spacing w:after="180" w:line="288" w:lineRule="auto"/>
      </w:pPr>
      <w:r>
        <w:t>Revolving utilization measures how much of an applicant's available credit they are currently using. For example, someone using $9,000 of a $10,000 credit limit has a 90% utilization. The query below groups every applicant into one of four utilization bands using a CASE statement, then computes the delinquency rate within each band using GROUP BY and AVG.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2050"/>
        <w:gridCol w:w="1950"/>
        <w:gridCol w:w="1960"/>
      </w:tblGrid>
      <w:tr w:rsidR="00DB7672" w14:paraId="60D74C83" w14:textId="77777777">
        <w:tblPrEx>
          <w:tblCellMar>
            <w:top w:w="0" w:type="dxa"/>
            <w:bottom w:w="0" w:type="dxa"/>
          </w:tblCellMar>
        </w:tblPrEx>
        <w:trPr>
          <w:tblHeader/>
        </w:trPr>
        <w:tc>
          <w:tcPr>
            <w:tcW w:w="3400" w:type="dxa"/>
            <w:tcBorders>
              <w:top w:val="single" w:sz="4" w:space="0" w:color="BFBFBF"/>
              <w:left w:val="single" w:sz="4" w:space="0" w:color="BFBFBF"/>
              <w:bottom w:val="single" w:sz="4" w:space="0" w:color="BFBFBF"/>
              <w:right w:val="single" w:sz="4" w:space="0" w:color="BFBFBF"/>
            </w:tcBorders>
            <w:shd w:val="clear" w:color="auto" w:fill="000000"/>
            <w:tcMar>
              <w:top w:w="80" w:type="dxa"/>
              <w:left w:w="100" w:type="dxa"/>
              <w:bottom w:w="80" w:type="dxa"/>
              <w:right w:w="100" w:type="dxa"/>
            </w:tcMar>
            <w:vAlign w:val="center"/>
          </w:tcPr>
          <w:p w14:paraId="112E95FE" w14:textId="77777777" w:rsidR="00DB7672" w:rsidRDefault="00000000">
            <w:r>
              <w:rPr>
                <w:b/>
                <w:bCs/>
                <w:color w:val="FFFFFF"/>
                <w:sz w:val="19"/>
                <w:szCs w:val="19"/>
              </w:rPr>
              <w:t>Utilization Band</w:t>
            </w:r>
          </w:p>
        </w:tc>
        <w:tc>
          <w:tcPr>
            <w:tcW w:w="2050" w:type="dxa"/>
            <w:tcBorders>
              <w:top w:val="single" w:sz="4" w:space="0" w:color="BFBFBF"/>
              <w:left w:val="single" w:sz="4" w:space="0" w:color="BFBFBF"/>
              <w:bottom w:val="single" w:sz="4" w:space="0" w:color="BFBFBF"/>
              <w:right w:val="single" w:sz="4" w:space="0" w:color="BFBFBF"/>
            </w:tcBorders>
            <w:shd w:val="clear" w:color="auto" w:fill="000000"/>
            <w:tcMar>
              <w:top w:w="80" w:type="dxa"/>
              <w:left w:w="100" w:type="dxa"/>
              <w:bottom w:w="80" w:type="dxa"/>
              <w:right w:w="100" w:type="dxa"/>
            </w:tcMar>
            <w:vAlign w:val="center"/>
          </w:tcPr>
          <w:p w14:paraId="433CF3F6" w14:textId="77777777" w:rsidR="00DB7672" w:rsidRDefault="00000000">
            <w:r>
              <w:rPr>
                <w:b/>
                <w:bCs/>
                <w:color w:val="FFFFFF"/>
                <w:sz w:val="19"/>
                <w:szCs w:val="19"/>
              </w:rPr>
              <w:t>Applicants</w:t>
            </w:r>
          </w:p>
        </w:tc>
        <w:tc>
          <w:tcPr>
            <w:tcW w:w="1950" w:type="dxa"/>
            <w:tcBorders>
              <w:top w:val="single" w:sz="4" w:space="0" w:color="BFBFBF"/>
              <w:left w:val="single" w:sz="4" w:space="0" w:color="BFBFBF"/>
              <w:bottom w:val="single" w:sz="4" w:space="0" w:color="BFBFBF"/>
              <w:right w:val="single" w:sz="4" w:space="0" w:color="BFBFBF"/>
            </w:tcBorders>
            <w:shd w:val="clear" w:color="auto" w:fill="000000"/>
            <w:tcMar>
              <w:top w:w="80" w:type="dxa"/>
              <w:left w:w="100" w:type="dxa"/>
              <w:bottom w:w="80" w:type="dxa"/>
              <w:right w:w="100" w:type="dxa"/>
            </w:tcMar>
            <w:vAlign w:val="center"/>
          </w:tcPr>
          <w:p w14:paraId="1467F12C" w14:textId="77777777" w:rsidR="00DB7672" w:rsidRDefault="00000000">
            <w:r>
              <w:rPr>
                <w:b/>
                <w:bCs/>
                <w:color w:val="FFFFFF"/>
                <w:sz w:val="19"/>
                <w:szCs w:val="19"/>
              </w:rPr>
              <w:t>Delinquent</w:t>
            </w:r>
          </w:p>
        </w:tc>
        <w:tc>
          <w:tcPr>
            <w:tcW w:w="1960" w:type="dxa"/>
            <w:tcBorders>
              <w:top w:val="single" w:sz="4" w:space="0" w:color="BFBFBF"/>
              <w:left w:val="single" w:sz="4" w:space="0" w:color="BFBFBF"/>
              <w:bottom w:val="single" w:sz="4" w:space="0" w:color="BFBFBF"/>
              <w:right w:val="single" w:sz="4" w:space="0" w:color="BFBFBF"/>
            </w:tcBorders>
            <w:shd w:val="clear" w:color="auto" w:fill="000000"/>
            <w:tcMar>
              <w:top w:w="80" w:type="dxa"/>
              <w:left w:w="100" w:type="dxa"/>
              <w:bottom w:w="80" w:type="dxa"/>
              <w:right w:w="100" w:type="dxa"/>
            </w:tcMar>
            <w:vAlign w:val="center"/>
          </w:tcPr>
          <w:p w14:paraId="729BDF6D" w14:textId="77777777" w:rsidR="00DB7672" w:rsidRDefault="00000000">
            <w:r>
              <w:rPr>
                <w:b/>
                <w:bCs/>
                <w:color w:val="FFFFFF"/>
                <w:sz w:val="19"/>
                <w:szCs w:val="19"/>
              </w:rPr>
              <w:t>Delinquency Rate</w:t>
            </w:r>
          </w:p>
        </w:tc>
      </w:tr>
      <w:tr w:rsidR="00DB7672" w14:paraId="37669160"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E9F176E" w14:textId="77777777" w:rsidR="00DB7672" w:rsidRDefault="00000000">
            <w:r>
              <w:rPr>
                <w:sz w:val="19"/>
                <w:szCs w:val="19"/>
              </w:rPr>
              <w:t>Under 10%</w:t>
            </w:r>
          </w:p>
        </w:tc>
        <w:tc>
          <w:tcPr>
            <w:tcW w:w="2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7852A8A1" w14:textId="77777777" w:rsidR="00DB7672" w:rsidRDefault="00000000">
            <w:pPr>
              <w:jc w:val="center"/>
            </w:pPr>
            <w:r>
              <w:rPr>
                <w:sz w:val="19"/>
                <w:szCs w:val="19"/>
              </w:rPr>
              <w:t>64,404</w:t>
            </w:r>
          </w:p>
        </w:tc>
        <w:tc>
          <w:tcPr>
            <w:tcW w:w="19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61C283E" w14:textId="77777777" w:rsidR="00DB7672" w:rsidRDefault="00000000">
            <w:pPr>
              <w:jc w:val="center"/>
            </w:pPr>
            <w:r>
              <w:rPr>
                <w:sz w:val="19"/>
                <w:szCs w:val="19"/>
              </w:rPr>
              <w:t>1,166</w:t>
            </w:r>
          </w:p>
        </w:tc>
        <w:tc>
          <w:tcPr>
            <w:tcW w:w="19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140A0D3" w14:textId="77777777" w:rsidR="00DB7672" w:rsidRDefault="00000000">
            <w:pPr>
              <w:jc w:val="center"/>
            </w:pPr>
            <w:r>
              <w:rPr>
                <w:sz w:val="19"/>
                <w:szCs w:val="19"/>
              </w:rPr>
              <w:t>1.81%</w:t>
            </w:r>
          </w:p>
        </w:tc>
      </w:tr>
      <w:tr w:rsidR="00DB7672" w14:paraId="2191A979"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shd w:val="clear" w:color="auto" w:fill="F2F2F0"/>
            <w:tcMar>
              <w:top w:w="70" w:type="dxa"/>
              <w:left w:w="100" w:type="dxa"/>
              <w:bottom w:w="70" w:type="dxa"/>
              <w:right w:w="100" w:type="dxa"/>
            </w:tcMar>
            <w:vAlign w:val="center"/>
          </w:tcPr>
          <w:p w14:paraId="74E3D7BA" w14:textId="77777777" w:rsidR="00DB7672" w:rsidRDefault="00000000">
            <w:r>
              <w:rPr>
                <w:sz w:val="19"/>
                <w:szCs w:val="19"/>
              </w:rPr>
              <w:t>10% to 50%</w:t>
            </w:r>
          </w:p>
        </w:tc>
        <w:tc>
          <w:tcPr>
            <w:tcW w:w="2050" w:type="dxa"/>
            <w:tcBorders>
              <w:top w:val="single" w:sz="4" w:space="0" w:color="BFBFBF"/>
              <w:left w:val="single" w:sz="4" w:space="0" w:color="BFBFBF"/>
              <w:bottom w:val="single" w:sz="4" w:space="0" w:color="BFBFBF"/>
              <w:right w:val="single" w:sz="4" w:space="0" w:color="BFBFBF"/>
            </w:tcBorders>
            <w:shd w:val="clear" w:color="auto" w:fill="F2F2F0"/>
            <w:tcMar>
              <w:top w:w="70" w:type="dxa"/>
              <w:left w:w="100" w:type="dxa"/>
              <w:bottom w:w="70" w:type="dxa"/>
              <w:right w:w="100" w:type="dxa"/>
            </w:tcMar>
            <w:vAlign w:val="center"/>
          </w:tcPr>
          <w:p w14:paraId="63D80230" w14:textId="77777777" w:rsidR="00DB7672" w:rsidRDefault="00000000">
            <w:pPr>
              <w:jc w:val="center"/>
            </w:pPr>
            <w:r>
              <w:rPr>
                <w:sz w:val="19"/>
                <w:szCs w:val="19"/>
              </w:rPr>
              <w:t>44,308</w:t>
            </w:r>
          </w:p>
        </w:tc>
        <w:tc>
          <w:tcPr>
            <w:tcW w:w="1950" w:type="dxa"/>
            <w:tcBorders>
              <w:top w:val="single" w:sz="4" w:space="0" w:color="BFBFBF"/>
              <w:left w:val="single" w:sz="4" w:space="0" w:color="BFBFBF"/>
              <w:bottom w:val="single" w:sz="4" w:space="0" w:color="BFBFBF"/>
              <w:right w:val="single" w:sz="4" w:space="0" w:color="BFBFBF"/>
            </w:tcBorders>
            <w:shd w:val="clear" w:color="auto" w:fill="F2F2F0"/>
            <w:tcMar>
              <w:top w:w="70" w:type="dxa"/>
              <w:left w:w="100" w:type="dxa"/>
              <w:bottom w:w="70" w:type="dxa"/>
              <w:right w:w="100" w:type="dxa"/>
            </w:tcMar>
            <w:vAlign w:val="center"/>
          </w:tcPr>
          <w:p w14:paraId="70D8E2F2" w14:textId="77777777" w:rsidR="00DB7672" w:rsidRDefault="00000000">
            <w:pPr>
              <w:jc w:val="center"/>
            </w:pPr>
            <w:r>
              <w:rPr>
                <w:sz w:val="19"/>
                <w:szCs w:val="19"/>
              </w:rPr>
              <w:t>1,821</w:t>
            </w:r>
          </w:p>
        </w:tc>
        <w:tc>
          <w:tcPr>
            <w:tcW w:w="1960" w:type="dxa"/>
            <w:tcBorders>
              <w:top w:val="single" w:sz="4" w:space="0" w:color="BFBFBF"/>
              <w:left w:val="single" w:sz="4" w:space="0" w:color="BFBFBF"/>
              <w:bottom w:val="single" w:sz="4" w:space="0" w:color="BFBFBF"/>
              <w:right w:val="single" w:sz="4" w:space="0" w:color="BFBFBF"/>
            </w:tcBorders>
            <w:shd w:val="clear" w:color="auto" w:fill="F2F2F0"/>
            <w:tcMar>
              <w:top w:w="70" w:type="dxa"/>
              <w:left w:w="100" w:type="dxa"/>
              <w:bottom w:w="70" w:type="dxa"/>
              <w:right w:w="100" w:type="dxa"/>
            </w:tcMar>
            <w:vAlign w:val="center"/>
          </w:tcPr>
          <w:p w14:paraId="4B875340" w14:textId="77777777" w:rsidR="00DB7672" w:rsidRDefault="00000000">
            <w:pPr>
              <w:jc w:val="center"/>
            </w:pPr>
            <w:r>
              <w:rPr>
                <w:sz w:val="19"/>
                <w:szCs w:val="19"/>
              </w:rPr>
              <w:t>4.11%</w:t>
            </w:r>
          </w:p>
        </w:tc>
      </w:tr>
      <w:tr w:rsidR="00DB7672" w14:paraId="1E6BB27C"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6C1F5E05" w14:textId="77777777" w:rsidR="00DB7672" w:rsidRDefault="00000000">
            <w:r>
              <w:rPr>
                <w:sz w:val="19"/>
                <w:szCs w:val="19"/>
              </w:rPr>
              <w:t>50% to 100%</w:t>
            </w:r>
          </w:p>
        </w:tc>
        <w:tc>
          <w:tcPr>
            <w:tcW w:w="2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A66E892" w14:textId="77777777" w:rsidR="00DB7672" w:rsidRDefault="00000000">
            <w:pPr>
              <w:jc w:val="center"/>
            </w:pPr>
            <w:r>
              <w:rPr>
                <w:sz w:val="19"/>
                <w:szCs w:val="19"/>
              </w:rPr>
              <w:t>37,949</w:t>
            </w:r>
          </w:p>
        </w:tc>
        <w:tc>
          <w:tcPr>
            <w:tcW w:w="19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8F4DB2B" w14:textId="77777777" w:rsidR="00DB7672" w:rsidRDefault="00000000">
            <w:pPr>
              <w:jc w:val="center"/>
            </w:pPr>
            <w:r>
              <w:rPr>
                <w:sz w:val="19"/>
                <w:szCs w:val="19"/>
              </w:rPr>
              <w:t>5,798</w:t>
            </w:r>
          </w:p>
        </w:tc>
        <w:tc>
          <w:tcPr>
            <w:tcW w:w="19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488C7F4" w14:textId="77777777" w:rsidR="00DB7672" w:rsidRDefault="00000000">
            <w:pPr>
              <w:jc w:val="center"/>
            </w:pPr>
            <w:r>
              <w:rPr>
                <w:sz w:val="19"/>
                <w:szCs w:val="19"/>
              </w:rPr>
              <w:t>15.28%</w:t>
            </w:r>
          </w:p>
        </w:tc>
      </w:tr>
      <w:tr w:rsidR="00DB7672" w14:paraId="64F8D79E"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shd w:val="clear" w:color="auto" w:fill="F2F2F0"/>
            <w:tcMar>
              <w:top w:w="70" w:type="dxa"/>
              <w:left w:w="100" w:type="dxa"/>
              <w:bottom w:w="70" w:type="dxa"/>
              <w:right w:w="100" w:type="dxa"/>
            </w:tcMar>
            <w:vAlign w:val="center"/>
          </w:tcPr>
          <w:p w14:paraId="24AB0688" w14:textId="77777777" w:rsidR="00DB7672" w:rsidRDefault="00000000">
            <w:r>
              <w:rPr>
                <w:sz w:val="19"/>
                <w:szCs w:val="19"/>
              </w:rPr>
              <w:t>Over 100%</w:t>
            </w:r>
          </w:p>
        </w:tc>
        <w:tc>
          <w:tcPr>
            <w:tcW w:w="2050" w:type="dxa"/>
            <w:tcBorders>
              <w:top w:val="single" w:sz="4" w:space="0" w:color="BFBFBF"/>
              <w:left w:val="single" w:sz="4" w:space="0" w:color="BFBFBF"/>
              <w:bottom w:val="single" w:sz="4" w:space="0" w:color="BFBFBF"/>
              <w:right w:val="single" w:sz="4" w:space="0" w:color="BFBFBF"/>
            </w:tcBorders>
            <w:shd w:val="clear" w:color="auto" w:fill="F2F2F0"/>
            <w:tcMar>
              <w:top w:w="70" w:type="dxa"/>
              <w:left w:w="100" w:type="dxa"/>
              <w:bottom w:w="70" w:type="dxa"/>
              <w:right w:w="100" w:type="dxa"/>
            </w:tcMar>
            <w:vAlign w:val="center"/>
          </w:tcPr>
          <w:p w14:paraId="50264DD2" w14:textId="77777777" w:rsidR="00DB7672" w:rsidRDefault="00000000">
            <w:pPr>
              <w:jc w:val="center"/>
            </w:pPr>
            <w:r>
              <w:rPr>
                <w:sz w:val="19"/>
                <w:szCs w:val="19"/>
              </w:rPr>
              <w:t>3,338</w:t>
            </w:r>
          </w:p>
        </w:tc>
        <w:tc>
          <w:tcPr>
            <w:tcW w:w="1950" w:type="dxa"/>
            <w:tcBorders>
              <w:top w:val="single" w:sz="4" w:space="0" w:color="BFBFBF"/>
              <w:left w:val="single" w:sz="4" w:space="0" w:color="BFBFBF"/>
              <w:bottom w:val="single" w:sz="4" w:space="0" w:color="BFBFBF"/>
              <w:right w:val="single" w:sz="4" w:space="0" w:color="BFBFBF"/>
            </w:tcBorders>
            <w:shd w:val="clear" w:color="auto" w:fill="F2F2F0"/>
            <w:tcMar>
              <w:top w:w="70" w:type="dxa"/>
              <w:left w:w="100" w:type="dxa"/>
              <w:bottom w:w="70" w:type="dxa"/>
              <w:right w:w="100" w:type="dxa"/>
            </w:tcMar>
            <w:vAlign w:val="center"/>
          </w:tcPr>
          <w:p w14:paraId="688456E4" w14:textId="77777777" w:rsidR="00DB7672" w:rsidRDefault="00000000">
            <w:pPr>
              <w:jc w:val="center"/>
            </w:pPr>
            <w:r>
              <w:rPr>
                <w:sz w:val="19"/>
                <w:szCs w:val="19"/>
              </w:rPr>
              <w:t>1,241</w:t>
            </w:r>
          </w:p>
        </w:tc>
        <w:tc>
          <w:tcPr>
            <w:tcW w:w="1960" w:type="dxa"/>
            <w:tcBorders>
              <w:top w:val="single" w:sz="4" w:space="0" w:color="BFBFBF"/>
              <w:left w:val="single" w:sz="4" w:space="0" w:color="BFBFBF"/>
              <w:bottom w:val="single" w:sz="4" w:space="0" w:color="BFBFBF"/>
              <w:right w:val="single" w:sz="4" w:space="0" w:color="BFBFBF"/>
            </w:tcBorders>
            <w:shd w:val="clear" w:color="auto" w:fill="F2F2F0"/>
            <w:tcMar>
              <w:top w:w="70" w:type="dxa"/>
              <w:left w:w="100" w:type="dxa"/>
              <w:bottom w:w="70" w:type="dxa"/>
              <w:right w:w="100" w:type="dxa"/>
            </w:tcMar>
            <w:vAlign w:val="center"/>
          </w:tcPr>
          <w:p w14:paraId="38064E5B" w14:textId="77777777" w:rsidR="00DB7672" w:rsidRDefault="00000000">
            <w:pPr>
              <w:jc w:val="center"/>
            </w:pPr>
            <w:r>
              <w:rPr>
                <w:sz w:val="19"/>
                <w:szCs w:val="19"/>
              </w:rPr>
              <w:t>37.18%</w:t>
            </w:r>
          </w:p>
        </w:tc>
      </w:tr>
    </w:tbl>
    <w:p w14:paraId="3974AB14" w14:textId="77777777" w:rsidR="00DB7672" w:rsidRDefault="00000000">
      <w:pPr>
        <w:spacing w:before="60" w:after="260"/>
      </w:pPr>
      <w:r>
        <w:rPr>
          <w:i/>
          <w:iCs/>
          <w:color w:val="595959"/>
          <w:sz w:val="18"/>
          <w:szCs w:val="18"/>
        </w:rPr>
        <w:t>Table 1. Delinquency rate by revolving utilization band, computed with a SQL query against the Azure-hosted dataset.</w:t>
      </w:r>
    </w:p>
    <w:p w14:paraId="4BD40092" w14:textId="77777777" w:rsidR="00DB7672" w:rsidRDefault="00000000">
      <w:pPr>
        <w:spacing w:after="180" w:line="288" w:lineRule="auto"/>
      </w:pPr>
      <w:r>
        <w:t>The relationship is dramatic and consistent: applicants using over 100% of their available credit (meaning they have exceeded their limit) go delinquent at more than 20 times the rate of applicants using under 10%. This is the single strongest predictor in the dataset, and it makes intuitive sense: an applicant maxing out their credit is already showing signs of financial strain.</w:t>
      </w:r>
    </w:p>
    <w:p w14:paraId="1F26C6DE" w14:textId="77777777" w:rsidR="00DB7672" w:rsidRDefault="00000000">
      <w:pPr>
        <w:pStyle w:val="Heading2"/>
        <w:spacing w:before="260" w:after="120"/>
      </w:pPr>
      <w:r>
        <w:rPr>
          <w:b/>
          <w:bCs/>
          <w:color w:val="404040"/>
          <w:sz w:val="24"/>
          <w:szCs w:val="24"/>
        </w:rPr>
        <w:t>Finding 2: Younger Applicants Carry More Risk</w:t>
      </w:r>
    </w:p>
    <w:p w14:paraId="2DA806B8" w14:textId="77777777" w:rsidR="00DB7672" w:rsidRDefault="00000000">
      <w:pPr>
        <w:spacing w:after="180" w:line="288" w:lineRule="auto"/>
      </w:pPr>
      <w:r>
        <w:t>The same technique (a CASE statement to bucket applicants, then GROUP BY and AVG to summarize each bucket) was applied to age instead of utilization.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2150"/>
        <w:gridCol w:w="2100"/>
        <w:gridCol w:w="2210"/>
      </w:tblGrid>
      <w:tr w:rsidR="00DB7672" w14:paraId="7E4F30EE" w14:textId="77777777">
        <w:tblPrEx>
          <w:tblCellMar>
            <w:top w:w="0" w:type="dxa"/>
            <w:bottom w:w="0" w:type="dxa"/>
          </w:tblCellMar>
        </w:tblPrEx>
        <w:trPr>
          <w:tblHeader/>
        </w:trPr>
        <w:tc>
          <w:tcPr>
            <w:tcW w:w="2900" w:type="dxa"/>
            <w:tcBorders>
              <w:top w:val="single" w:sz="4" w:space="0" w:color="BFBFBF"/>
              <w:left w:val="single" w:sz="4" w:space="0" w:color="BFBFBF"/>
              <w:bottom w:val="single" w:sz="4" w:space="0" w:color="BFBFBF"/>
              <w:right w:val="single" w:sz="4" w:space="0" w:color="BFBFBF"/>
            </w:tcBorders>
            <w:shd w:val="clear" w:color="auto" w:fill="000000"/>
            <w:tcMar>
              <w:top w:w="80" w:type="dxa"/>
              <w:left w:w="100" w:type="dxa"/>
              <w:bottom w:w="80" w:type="dxa"/>
              <w:right w:w="100" w:type="dxa"/>
            </w:tcMar>
            <w:vAlign w:val="center"/>
          </w:tcPr>
          <w:p w14:paraId="2216930B" w14:textId="77777777" w:rsidR="00DB7672" w:rsidRDefault="00000000">
            <w:r>
              <w:rPr>
                <w:b/>
                <w:bCs/>
                <w:color w:val="FFFFFF"/>
                <w:sz w:val="19"/>
                <w:szCs w:val="19"/>
              </w:rPr>
              <w:t>Age Band</w:t>
            </w:r>
          </w:p>
        </w:tc>
        <w:tc>
          <w:tcPr>
            <w:tcW w:w="2150" w:type="dxa"/>
            <w:tcBorders>
              <w:top w:val="single" w:sz="4" w:space="0" w:color="BFBFBF"/>
              <w:left w:val="single" w:sz="4" w:space="0" w:color="BFBFBF"/>
              <w:bottom w:val="single" w:sz="4" w:space="0" w:color="BFBFBF"/>
              <w:right w:val="single" w:sz="4" w:space="0" w:color="BFBFBF"/>
            </w:tcBorders>
            <w:shd w:val="clear" w:color="auto" w:fill="000000"/>
            <w:tcMar>
              <w:top w:w="80" w:type="dxa"/>
              <w:left w:w="100" w:type="dxa"/>
              <w:bottom w:w="80" w:type="dxa"/>
              <w:right w:w="100" w:type="dxa"/>
            </w:tcMar>
            <w:vAlign w:val="center"/>
          </w:tcPr>
          <w:p w14:paraId="5713CA70" w14:textId="77777777" w:rsidR="00DB7672" w:rsidRDefault="00000000">
            <w:r>
              <w:rPr>
                <w:b/>
                <w:bCs/>
                <w:color w:val="FFFFFF"/>
                <w:sz w:val="19"/>
                <w:szCs w:val="19"/>
              </w:rPr>
              <w:t>Applicants</w:t>
            </w:r>
          </w:p>
        </w:tc>
        <w:tc>
          <w:tcPr>
            <w:tcW w:w="2100" w:type="dxa"/>
            <w:tcBorders>
              <w:top w:val="single" w:sz="4" w:space="0" w:color="BFBFBF"/>
              <w:left w:val="single" w:sz="4" w:space="0" w:color="BFBFBF"/>
              <w:bottom w:val="single" w:sz="4" w:space="0" w:color="BFBFBF"/>
              <w:right w:val="single" w:sz="4" w:space="0" w:color="BFBFBF"/>
            </w:tcBorders>
            <w:shd w:val="clear" w:color="auto" w:fill="000000"/>
            <w:tcMar>
              <w:top w:w="80" w:type="dxa"/>
              <w:left w:w="100" w:type="dxa"/>
              <w:bottom w:w="80" w:type="dxa"/>
              <w:right w:w="100" w:type="dxa"/>
            </w:tcMar>
            <w:vAlign w:val="center"/>
          </w:tcPr>
          <w:p w14:paraId="2D4A026E" w14:textId="77777777" w:rsidR="00DB7672" w:rsidRDefault="00000000">
            <w:r>
              <w:rPr>
                <w:b/>
                <w:bCs/>
                <w:color w:val="FFFFFF"/>
                <w:sz w:val="19"/>
                <w:szCs w:val="19"/>
              </w:rPr>
              <w:t>Delinquent</w:t>
            </w:r>
          </w:p>
        </w:tc>
        <w:tc>
          <w:tcPr>
            <w:tcW w:w="2210" w:type="dxa"/>
            <w:tcBorders>
              <w:top w:val="single" w:sz="4" w:space="0" w:color="BFBFBF"/>
              <w:left w:val="single" w:sz="4" w:space="0" w:color="BFBFBF"/>
              <w:bottom w:val="single" w:sz="4" w:space="0" w:color="BFBFBF"/>
              <w:right w:val="single" w:sz="4" w:space="0" w:color="BFBFBF"/>
            </w:tcBorders>
            <w:shd w:val="clear" w:color="auto" w:fill="000000"/>
            <w:tcMar>
              <w:top w:w="80" w:type="dxa"/>
              <w:left w:w="100" w:type="dxa"/>
              <w:bottom w:w="80" w:type="dxa"/>
              <w:right w:w="100" w:type="dxa"/>
            </w:tcMar>
            <w:vAlign w:val="center"/>
          </w:tcPr>
          <w:p w14:paraId="0B4C0457" w14:textId="77777777" w:rsidR="00DB7672" w:rsidRDefault="00000000">
            <w:r>
              <w:rPr>
                <w:b/>
                <w:bCs/>
                <w:color w:val="FFFFFF"/>
                <w:sz w:val="19"/>
                <w:szCs w:val="19"/>
              </w:rPr>
              <w:t>Delinquency Rate</w:t>
            </w:r>
          </w:p>
        </w:tc>
      </w:tr>
      <w:tr w:rsidR="00DB7672" w14:paraId="15314BA3" w14:textId="77777777">
        <w:tblPrEx>
          <w:tblCellMar>
            <w:top w:w="0" w:type="dxa"/>
            <w:bottom w:w="0" w:type="dxa"/>
          </w:tblCellMar>
        </w:tblPrEx>
        <w:tc>
          <w:tcPr>
            <w:tcW w:w="2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F15048F" w14:textId="77777777" w:rsidR="00DB7672" w:rsidRDefault="00000000">
            <w:r>
              <w:rPr>
                <w:sz w:val="19"/>
                <w:szCs w:val="19"/>
              </w:rPr>
              <w:t>Under 30</w:t>
            </w:r>
          </w:p>
        </w:tc>
        <w:tc>
          <w:tcPr>
            <w:tcW w:w="21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45CC395" w14:textId="77777777" w:rsidR="00DB7672" w:rsidRDefault="00000000">
            <w:pPr>
              <w:jc w:val="center"/>
            </w:pPr>
            <w:r>
              <w:rPr>
                <w:sz w:val="19"/>
                <w:szCs w:val="19"/>
              </w:rPr>
              <w:t>8,820</w:t>
            </w:r>
          </w:p>
        </w:tc>
        <w:tc>
          <w:tcPr>
            <w:tcW w:w="2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5C7F89C" w14:textId="77777777" w:rsidR="00DB7672" w:rsidRDefault="00000000">
            <w:pPr>
              <w:jc w:val="center"/>
            </w:pPr>
            <w:r>
              <w:rPr>
                <w:sz w:val="19"/>
                <w:szCs w:val="19"/>
              </w:rPr>
              <w:t>1,035</w:t>
            </w:r>
          </w:p>
        </w:tc>
        <w:tc>
          <w:tcPr>
            <w:tcW w:w="221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399251B" w14:textId="77777777" w:rsidR="00DB7672" w:rsidRDefault="00000000">
            <w:pPr>
              <w:jc w:val="center"/>
            </w:pPr>
            <w:r>
              <w:rPr>
                <w:sz w:val="19"/>
                <w:szCs w:val="19"/>
              </w:rPr>
              <w:t>11.73%</w:t>
            </w:r>
          </w:p>
        </w:tc>
      </w:tr>
      <w:tr w:rsidR="00DB7672" w14:paraId="2FC9894F" w14:textId="77777777">
        <w:tblPrEx>
          <w:tblCellMar>
            <w:top w:w="0" w:type="dxa"/>
            <w:bottom w:w="0" w:type="dxa"/>
          </w:tblCellMar>
        </w:tblPrEx>
        <w:tc>
          <w:tcPr>
            <w:tcW w:w="2900" w:type="dxa"/>
            <w:tcBorders>
              <w:top w:val="single" w:sz="4" w:space="0" w:color="BFBFBF"/>
              <w:left w:val="single" w:sz="4" w:space="0" w:color="BFBFBF"/>
              <w:bottom w:val="single" w:sz="4" w:space="0" w:color="BFBFBF"/>
              <w:right w:val="single" w:sz="4" w:space="0" w:color="BFBFBF"/>
            </w:tcBorders>
            <w:shd w:val="clear" w:color="auto" w:fill="F2F2F0"/>
            <w:tcMar>
              <w:top w:w="70" w:type="dxa"/>
              <w:left w:w="100" w:type="dxa"/>
              <w:bottom w:w="70" w:type="dxa"/>
              <w:right w:w="100" w:type="dxa"/>
            </w:tcMar>
            <w:vAlign w:val="center"/>
          </w:tcPr>
          <w:p w14:paraId="1F2F62FD" w14:textId="77777777" w:rsidR="00DB7672" w:rsidRDefault="00000000">
            <w:r>
              <w:rPr>
                <w:sz w:val="19"/>
                <w:szCs w:val="19"/>
              </w:rPr>
              <w:t>30 to 39</w:t>
            </w:r>
          </w:p>
        </w:tc>
        <w:tc>
          <w:tcPr>
            <w:tcW w:w="2150" w:type="dxa"/>
            <w:tcBorders>
              <w:top w:val="single" w:sz="4" w:space="0" w:color="BFBFBF"/>
              <w:left w:val="single" w:sz="4" w:space="0" w:color="BFBFBF"/>
              <w:bottom w:val="single" w:sz="4" w:space="0" w:color="BFBFBF"/>
              <w:right w:val="single" w:sz="4" w:space="0" w:color="BFBFBF"/>
            </w:tcBorders>
            <w:shd w:val="clear" w:color="auto" w:fill="F2F2F0"/>
            <w:tcMar>
              <w:top w:w="70" w:type="dxa"/>
              <w:left w:w="100" w:type="dxa"/>
              <w:bottom w:w="70" w:type="dxa"/>
              <w:right w:w="100" w:type="dxa"/>
            </w:tcMar>
            <w:vAlign w:val="center"/>
          </w:tcPr>
          <w:p w14:paraId="77F55547" w14:textId="77777777" w:rsidR="00DB7672" w:rsidRDefault="00000000">
            <w:pPr>
              <w:jc w:val="center"/>
            </w:pPr>
            <w:r>
              <w:rPr>
                <w:sz w:val="19"/>
                <w:szCs w:val="19"/>
              </w:rPr>
              <w:t>23,183</w:t>
            </w:r>
          </w:p>
        </w:tc>
        <w:tc>
          <w:tcPr>
            <w:tcW w:w="2100" w:type="dxa"/>
            <w:tcBorders>
              <w:top w:val="single" w:sz="4" w:space="0" w:color="BFBFBF"/>
              <w:left w:val="single" w:sz="4" w:space="0" w:color="BFBFBF"/>
              <w:bottom w:val="single" w:sz="4" w:space="0" w:color="BFBFBF"/>
              <w:right w:val="single" w:sz="4" w:space="0" w:color="BFBFBF"/>
            </w:tcBorders>
            <w:shd w:val="clear" w:color="auto" w:fill="F2F2F0"/>
            <w:tcMar>
              <w:top w:w="70" w:type="dxa"/>
              <w:left w:w="100" w:type="dxa"/>
              <w:bottom w:w="70" w:type="dxa"/>
              <w:right w:w="100" w:type="dxa"/>
            </w:tcMar>
            <w:vAlign w:val="center"/>
          </w:tcPr>
          <w:p w14:paraId="19D58F0A" w14:textId="77777777" w:rsidR="00DB7672" w:rsidRDefault="00000000">
            <w:pPr>
              <w:jc w:val="center"/>
            </w:pPr>
            <w:r>
              <w:rPr>
                <w:sz w:val="19"/>
                <w:szCs w:val="19"/>
              </w:rPr>
              <w:t>2,335</w:t>
            </w:r>
          </w:p>
        </w:tc>
        <w:tc>
          <w:tcPr>
            <w:tcW w:w="2210" w:type="dxa"/>
            <w:tcBorders>
              <w:top w:val="single" w:sz="4" w:space="0" w:color="BFBFBF"/>
              <w:left w:val="single" w:sz="4" w:space="0" w:color="BFBFBF"/>
              <w:bottom w:val="single" w:sz="4" w:space="0" w:color="BFBFBF"/>
              <w:right w:val="single" w:sz="4" w:space="0" w:color="BFBFBF"/>
            </w:tcBorders>
            <w:shd w:val="clear" w:color="auto" w:fill="F2F2F0"/>
            <w:tcMar>
              <w:top w:w="70" w:type="dxa"/>
              <w:left w:w="100" w:type="dxa"/>
              <w:bottom w:w="70" w:type="dxa"/>
              <w:right w:w="100" w:type="dxa"/>
            </w:tcMar>
            <w:vAlign w:val="center"/>
          </w:tcPr>
          <w:p w14:paraId="30DD2B0E" w14:textId="77777777" w:rsidR="00DB7672" w:rsidRDefault="00000000">
            <w:pPr>
              <w:jc w:val="center"/>
            </w:pPr>
            <w:r>
              <w:rPr>
                <w:sz w:val="19"/>
                <w:szCs w:val="19"/>
              </w:rPr>
              <w:t>10.07%</w:t>
            </w:r>
          </w:p>
        </w:tc>
      </w:tr>
      <w:tr w:rsidR="00DB7672" w14:paraId="78480B2C" w14:textId="77777777">
        <w:tblPrEx>
          <w:tblCellMar>
            <w:top w:w="0" w:type="dxa"/>
            <w:bottom w:w="0" w:type="dxa"/>
          </w:tblCellMar>
        </w:tblPrEx>
        <w:tc>
          <w:tcPr>
            <w:tcW w:w="2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61A571A4" w14:textId="77777777" w:rsidR="00DB7672" w:rsidRDefault="00000000">
            <w:r>
              <w:rPr>
                <w:sz w:val="19"/>
                <w:szCs w:val="19"/>
              </w:rPr>
              <w:lastRenderedPageBreak/>
              <w:t>40 to 49</w:t>
            </w:r>
          </w:p>
        </w:tc>
        <w:tc>
          <w:tcPr>
            <w:tcW w:w="21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3058788" w14:textId="77777777" w:rsidR="00DB7672" w:rsidRDefault="00000000">
            <w:pPr>
              <w:jc w:val="center"/>
            </w:pPr>
            <w:r>
              <w:rPr>
                <w:sz w:val="19"/>
                <w:szCs w:val="19"/>
              </w:rPr>
              <w:t>34,377</w:t>
            </w:r>
          </w:p>
        </w:tc>
        <w:tc>
          <w:tcPr>
            <w:tcW w:w="2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62D35EA" w14:textId="77777777" w:rsidR="00DB7672" w:rsidRDefault="00000000">
            <w:pPr>
              <w:jc w:val="center"/>
            </w:pPr>
            <w:r>
              <w:rPr>
                <w:sz w:val="19"/>
                <w:szCs w:val="19"/>
              </w:rPr>
              <w:t>2,878</w:t>
            </w:r>
          </w:p>
        </w:tc>
        <w:tc>
          <w:tcPr>
            <w:tcW w:w="221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F7A0CC1" w14:textId="77777777" w:rsidR="00DB7672" w:rsidRDefault="00000000">
            <w:pPr>
              <w:jc w:val="center"/>
            </w:pPr>
            <w:r>
              <w:rPr>
                <w:sz w:val="19"/>
                <w:szCs w:val="19"/>
              </w:rPr>
              <w:t>8.37%</w:t>
            </w:r>
          </w:p>
        </w:tc>
      </w:tr>
      <w:tr w:rsidR="00DB7672" w14:paraId="345A2AA2" w14:textId="77777777">
        <w:tblPrEx>
          <w:tblCellMar>
            <w:top w:w="0" w:type="dxa"/>
            <w:bottom w:w="0" w:type="dxa"/>
          </w:tblCellMar>
        </w:tblPrEx>
        <w:tc>
          <w:tcPr>
            <w:tcW w:w="2900" w:type="dxa"/>
            <w:tcBorders>
              <w:top w:val="single" w:sz="4" w:space="0" w:color="BFBFBF"/>
              <w:left w:val="single" w:sz="4" w:space="0" w:color="BFBFBF"/>
              <w:bottom w:val="single" w:sz="4" w:space="0" w:color="BFBFBF"/>
              <w:right w:val="single" w:sz="4" w:space="0" w:color="BFBFBF"/>
            </w:tcBorders>
            <w:shd w:val="clear" w:color="auto" w:fill="F2F2F0"/>
            <w:tcMar>
              <w:top w:w="70" w:type="dxa"/>
              <w:left w:w="100" w:type="dxa"/>
              <w:bottom w:w="70" w:type="dxa"/>
              <w:right w:w="100" w:type="dxa"/>
            </w:tcMar>
            <w:vAlign w:val="center"/>
          </w:tcPr>
          <w:p w14:paraId="7EE186A0" w14:textId="77777777" w:rsidR="00DB7672" w:rsidRDefault="00000000">
            <w:r>
              <w:rPr>
                <w:sz w:val="19"/>
                <w:szCs w:val="19"/>
              </w:rPr>
              <w:t>50 to 59</w:t>
            </w:r>
          </w:p>
        </w:tc>
        <w:tc>
          <w:tcPr>
            <w:tcW w:w="2150" w:type="dxa"/>
            <w:tcBorders>
              <w:top w:val="single" w:sz="4" w:space="0" w:color="BFBFBF"/>
              <w:left w:val="single" w:sz="4" w:space="0" w:color="BFBFBF"/>
              <w:bottom w:val="single" w:sz="4" w:space="0" w:color="BFBFBF"/>
              <w:right w:val="single" w:sz="4" w:space="0" w:color="BFBFBF"/>
            </w:tcBorders>
            <w:shd w:val="clear" w:color="auto" w:fill="F2F2F0"/>
            <w:tcMar>
              <w:top w:w="70" w:type="dxa"/>
              <w:left w:w="100" w:type="dxa"/>
              <w:bottom w:w="70" w:type="dxa"/>
              <w:right w:w="100" w:type="dxa"/>
            </w:tcMar>
            <w:vAlign w:val="center"/>
          </w:tcPr>
          <w:p w14:paraId="2CF69AD7" w14:textId="77777777" w:rsidR="00DB7672" w:rsidRDefault="00000000">
            <w:pPr>
              <w:jc w:val="center"/>
            </w:pPr>
            <w:r>
              <w:rPr>
                <w:sz w:val="19"/>
                <w:szCs w:val="19"/>
              </w:rPr>
              <w:t>35,301</w:t>
            </w:r>
          </w:p>
        </w:tc>
        <w:tc>
          <w:tcPr>
            <w:tcW w:w="2100" w:type="dxa"/>
            <w:tcBorders>
              <w:top w:val="single" w:sz="4" w:space="0" w:color="BFBFBF"/>
              <w:left w:val="single" w:sz="4" w:space="0" w:color="BFBFBF"/>
              <w:bottom w:val="single" w:sz="4" w:space="0" w:color="BFBFBF"/>
              <w:right w:val="single" w:sz="4" w:space="0" w:color="BFBFBF"/>
            </w:tcBorders>
            <w:shd w:val="clear" w:color="auto" w:fill="F2F2F0"/>
            <w:tcMar>
              <w:top w:w="70" w:type="dxa"/>
              <w:left w:w="100" w:type="dxa"/>
              <w:bottom w:w="70" w:type="dxa"/>
              <w:right w:w="100" w:type="dxa"/>
            </w:tcMar>
            <w:vAlign w:val="center"/>
          </w:tcPr>
          <w:p w14:paraId="0B9F078B" w14:textId="77777777" w:rsidR="00DB7672" w:rsidRDefault="00000000">
            <w:pPr>
              <w:jc w:val="center"/>
            </w:pPr>
            <w:r>
              <w:rPr>
                <w:sz w:val="19"/>
                <w:szCs w:val="19"/>
              </w:rPr>
              <w:t>2,278</w:t>
            </w:r>
          </w:p>
        </w:tc>
        <w:tc>
          <w:tcPr>
            <w:tcW w:w="2210" w:type="dxa"/>
            <w:tcBorders>
              <w:top w:val="single" w:sz="4" w:space="0" w:color="BFBFBF"/>
              <w:left w:val="single" w:sz="4" w:space="0" w:color="BFBFBF"/>
              <w:bottom w:val="single" w:sz="4" w:space="0" w:color="BFBFBF"/>
              <w:right w:val="single" w:sz="4" w:space="0" w:color="BFBFBF"/>
            </w:tcBorders>
            <w:shd w:val="clear" w:color="auto" w:fill="F2F2F0"/>
            <w:tcMar>
              <w:top w:w="70" w:type="dxa"/>
              <w:left w:w="100" w:type="dxa"/>
              <w:bottom w:w="70" w:type="dxa"/>
              <w:right w:w="100" w:type="dxa"/>
            </w:tcMar>
            <w:vAlign w:val="center"/>
          </w:tcPr>
          <w:p w14:paraId="6EF12660" w14:textId="77777777" w:rsidR="00DB7672" w:rsidRDefault="00000000">
            <w:pPr>
              <w:jc w:val="center"/>
            </w:pPr>
            <w:r>
              <w:rPr>
                <w:sz w:val="19"/>
                <w:szCs w:val="19"/>
              </w:rPr>
              <w:t>6.45%</w:t>
            </w:r>
          </w:p>
        </w:tc>
      </w:tr>
      <w:tr w:rsidR="00DB7672" w14:paraId="3836EA3C" w14:textId="77777777">
        <w:tblPrEx>
          <w:tblCellMar>
            <w:top w:w="0" w:type="dxa"/>
            <w:bottom w:w="0" w:type="dxa"/>
          </w:tblCellMar>
        </w:tblPrEx>
        <w:tc>
          <w:tcPr>
            <w:tcW w:w="2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2226923" w14:textId="77777777" w:rsidR="00DB7672" w:rsidRDefault="00000000">
            <w:r>
              <w:rPr>
                <w:sz w:val="19"/>
                <w:szCs w:val="19"/>
              </w:rPr>
              <w:t>60 to 69</w:t>
            </w:r>
          </w:p>
        </w:tc>
        <w:tc>
          <w:tcPr>
            <w:tcW w:w="21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7D2826D9" w14:textId="77777777" w:rsidR="00DB7672" w:rsidRDefault="00000000">
            <w:pPr>
              <w:jc w:val="center"/>
            </w:pPr>
            <w:r>
              <w:rPr>
                <w:sz w:val="19"/>
                <w:szCs w:val="19"/>
              </w:rPr>
              <w:t>28,905</w:t>
            </w:r>
          </w:p>
        </w:tc>
        <w:tc>
          <w:tcPr>
            <w:tcW w:w="2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8674973" w14:textId="77777777" w:rsidR="00DB7672" w:rsidRDefault="00000000">
            <w:pPr>
              <w:jc w:val="center"/>
            </w:pPr>
            <w:r>
              <w:rPr>
                <w:sz w:val="19"/>
                <w:szCs w:val="19"/>
              </w:rPr>
              <w:t>1,050</w:t>
            </w:r>
          </w:p>
        </w:tc>
        <w:tc>
          <w:tcPr>
            <w:tcW w:w="221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7D79797F" w14:textId="77777777" w:rsidR="00DB7672" w:rsidRDefault="00000000">
            <w:pPr>
              <w:jc w:val="center"/>
            </w:pPr>
            <w:r>
              <w:rPr>
                <w:sz w:val="19"/>
                <w:szCs w:val="19"/>
              </w:rPr>
              <w:t>3.63%</w:t>
            </w:r>
          </w:p>
        </w:tc>
      </w:tr>
      <w:tr w:rsidR="00DB7672" w14:paraId="74989D59" w14:textId="77777777">
        <w:tblPrEx>
          <w:tblCellMar>
            <w:top w:w="0" w:type="dxa"/>
            <w:bottom w:w="0" w:type="dxa"/>
          </w:tblCellMar>
        </w:tblPrEx>
        <w:tc>
          <w:tcPr>
            <w:tcW w:w="2900" w:type="dxa"/>
            <w:tcBorders>
              <w:top w:val="single" w:sz="4" w:space="0" w:color="BFBFBF"/>
              <w:left w:val="single" w:sz="4" w:space="0" w:color="BFBFBF"/>
              <w:bottom w:val="single" w:sz="4" w:space="0" w:color="BFBFBF"/>
              <w:right w:val="single" w:sz="4" w:space="0" w:color="BFBFBF"/>
            </w:tcBorders>
            <w:shd w:val="clear" w:color="auto" w:fill="F2F2F0"/>
            <w:tcMar>
              <w:top w:w="70" w:type="dxa"/>
              <w:left w:w="100" w:type="dxa"/>
              <w:bottom w:w="70" w:type="dxa"/>
              <w:right w:w="100" w:type="dxa"/>
            </w:tcMar>
            <w:vAlign w:val="center"/>
          </w:tcPr>
          <w:p w14:paraId="2DC4C542" w14:textId="77777777" w:rsidR="00DB7672" w:rsidRDefault="00000000">
            <w:r>
              <w:rPr>
                <w:sz w:val="19"/>
                <w:szCs w:val="19"/>
              </w:rPr>
              <w:t>70 and over</w:t>
            </w:r>
          </w:p>
        </w:tc>
        <w:tc>
          <w:tcPr>
            <w:tcW w:w="2150" w:type="dxa"/>
            <w:tcBorders>
              <w:top w:val="single" w:sz="4" w:space="0" w:color="BFBFBF"/>
              <w:left w:val="single" w:sz="4" w:space="0" w:color="BFBFBF"/>
              <w:bottom w:val="single" w:sz="4" w:space="0" w:color="BFBFBF"/>
              <w:right w:val="single" w:sz="4" w:space="0" w:color="BFBFBF"/>
            </w:tcBorders>
            <w:shd w:val="clear" w:color="auto" w:fill="F2F2F0"/>
            <w:tcMar>
              <w:top w:w="70" w:type="dxa"/>
              <w:left w:w="100" w:type="dxa"/>
              <w:bottom w:w="70" w:type="dxa"/>
              <w:right w:w="100" w:type="dxa"/>
            </w:tcMar>
            <w:vAlign w:val="center"/>
          </w:tcPr>
          <w:p w14:paraId="70D03710" w14:textId="77777777" w:rsidR="00DB7672" w:rsidRDefault="00000000">
            <w:pPr>
              <w:jc w:val="center"/>
            </w:pPr>
            <w:r>
              <w:rPr>
                <w:sz w:val="19"/>
                <w:szCs w:val="19"/>
              </w:rPr>
              <w:t>19,413</w:t>
            </w:r>
          </w:p>
        </w:tc>
        <w:tc>
          <w:tcPr>
            <w:tcW w:w="2100" w:type="dxa"/>
            <w:tcBorders>
              <w:top w:val="single" w:sz="4" w:space="0" w:color="BFBFBF"/>
              <w:left w:val="single" w:sz="4" w:space="0" w:color="BFBFBF"/>
              <w:bottom w:val="single" w:sz="4" w:space="0" w:color="BFBFBF"/>
              <w:right w:val="single" w:sz="4" w:space="0" w:color="BFBFBF"/>
            </w:tcBorders>
            <w:shd w:val="clear" w:color="auto" w:fill="F2F2F0"/>
            <w:tcMar>
              <w:top w:w="70" w:type="dxa"/>
              <w:left w:w="100" w:type="dxa"/>
              <w:bottom w:w="70" w:type="dxa"/>
              <w:right w:w="100" w:type="dxa"/>
            </w:tcMar>
            <w:vAlign w:val="center"/>
          </w:tcPr>
          <w:p w14:paraId="7EDD4297" w14:textId="77777777" w:rsidR="00DB7672" w:rsidRDefault="00000000">
            <w:pPr>
              <w:jc w:val="center"/>
            </w:pPr>
            <w:r>
              <w:rPr>
                <w:sz w:val="19"/>
                <w:szCs w:val="19"/>
              </w:rPr>
              <w:t>450</w:t>
            </w:r>
          </w:p>
        </w:tc>
        <w:tc>
          <w:tcPr>
            <w:tcW w:w="2210" w:type="dxa"/>
            <w:tcBorders>
              <w:top w:val="single" w:sz="4" w:space="0" w:color="BFBFBF"/>
              <w:left w:val="single" w:sz="4" w:space="0" w:color="BFBFBF"/>
              <w:bottom w:val="single" w:sz="4" w:space="0" w:color="BFBFBF"/>
              <w:right w:val="single" w:sz="4" w:space="0" w:color="BFBFBF"/>
            </w:tcBorders>
            <w:shd w:val="clear" w:color="auto" w:fill="F2F2F0"/>
            <w:tcMar>
              <w:top w:w="70" w:type="dxa"/>
              <w:left w:w="100" w:type="dxa"/>
              <w:bottom w:w="70" w:type="dxa"/>
              <w:right w:w="100" w:type="dxa"/>
            </w:tcMar>
            <w:vAlign w:val="center"/>
          </w:tcPr>
          <w:p w14:paraId="09509CB6" w14:textId="77777777" w:rsidR="00DB7672" w:rsidRDefault="00000000">
            <w:pPr>
              <w:jc w:val="center"/>
            </w:pPr>
            <w:r>
              <w:rPr>
                <w:sz w:val="19"/>
                <w:szCs w:val="19"/>
              </w:rPr>
              <w:t>2.32%</w:t>
            </w:r>
          </w:p>
        </w:tc>
      </w:tr>
    </w:tbl>
    <w:p w14:paraId="1DD9581E" w14:textId="77777777" w:rsidR="00DB7672" w:rsidRDefault="00000000">
      <w:pPr>
        <w:spacing w:before="60" w:after="260"/>
      </w:pPr>
      <w:r>
        <w:rPr>
          <w:i/>
          <w:iCs/>
          <w:color w:val="595959"/>
          <w:sz w:val="18"/>
          <w:szCs w:val="18"/>
        </w:rPr>
        <w:t>Table 2. Delinquency rate by age band, computed with a SQL query against the Azure-hosted dataset.</w:t>
      </w:r>
    </w:p>
    <w:p w14:paraId="3616493F" w14:textId="77777777" w:rsidR="00DB7672" w:rsidRDefault="00000000">
      <w:pPr>
        <w:spacing w:after="180" w:line="288" w:lineRule="auto"/>
      </w:pPr>
      <w:r>
        <w:t>The pattern is clean and monotonic: risk falls in every single age band as applicants get older, from 11.73% under 30 down to 2.32% for applicants 70 and older. Age and utilization both turned out to be strong, well-behaved predictors, which is a good sign heading into modeling: a model that cannot find these two patterns would not be worth trusting with more subtle ones.</w:t>
      </w:r>
    </w:p>
    <w:p w14:paraId="1004C145" w14:textId="77777777" w:rsidR="00DB7672" w:rsidRDefault="00000000">
      <w:pPr>
        <w:pStyle w:val="Heading2"/>
        <w:spacing w:before="260" w:after="120"/>
      </w:pPr>
      <w:r>
        <w:rPr>
          <w:b/>
          <w:bCs/>
          <w:color w:val="404040"/>
          <w:sz w:val="24"/>
          <w:szCs w:val="24"/>
        </w:rPr>
        <w:t>Finding 3: Late-Payment History Is a Powerful Predictor</w:t>
      </w:r>
    </w:p>
    <w:p w14:paraId="21771D34" w14:textId="77777777" w:rsidR="00DB7672" w:rsidRDefault="00000000">
      <w:pPr>
        <w:spacing w:after="180" w:line="288" w:lineRule="auto"/>
      </w:pPr>
      <w:r>
        <w:t>Alongside the SQL analysis above, the same dataset was also explored in Excel using COUNTIFS and AVERAGEIFS formulas, grouping applicants by how many times they had previously been 30 to 59 days late on a payment.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60"/>
        <w:gridCol w:w="2400"/>
        <w:gridCol w:w="2400"/>
      </w:tblGrid>
      <w:tr w:rsidR="00DB7672" w14:paraId="0FB34B21" w14:textId="77777777">
        <w:tblPrEx>
          <w:tblCellMar>
            <w:top w:w="0" w:type="dxa"/>
            <w:bottom w:w="0" w:type="dxa"/>
          </w:tblCellMar>
        </w:tblPrEx>
        <w:trPr>
          <w:tblHeader/>
        </w:trPr>
        <w:tc>
          <w:tcPr>
            <w:tcW w:w="4560" w:type="dxa"/>
            <w:tcBorders>
              <w:top w:val="single" w:sz="4" w:space="0" w:color="BFBFBF"/>
              <w:left w:val="single" w:sz="4" w:space="0" w:color="BFBFBF"/>
              <w:bottom w:val="single" w:sz="4" w:space="0" w:color="BFBFBF"/>
              <w:right w:val="single" w:sz="4" w:space="0" w:color="BFBFBF"/>
            </w:tcBorders>
            <w:shd w:val="clear" w:color="auto" w:fill="000000"/>
            <w:tcMar>
              <w:top w:w="80" w:type="dxa"/>
              <w:left w:w="100" w:type="dxa"/>
              <w:bottom w:w="80" w:type="dxa"/>
              <w:right w:w="100" w:type="dxa"/>
            </w:tcMar>
            <w:vAlign w:val="center"/>
          </w:tcPr>
          <w:p w14:paraId="71A82303" w14:textId="77777777" w:rsidR="00DB7672" w:rsidRDefault="00000000">
            <w:r>
              <w:rPr>
                <w:b/>
                <w:bCs/>
                <w:color w:val="FFFFFF"/>
                <w:sz w:val="19"/>
                <w:szCs w:val="19"/>
              </w:rPr>
              <w:t>Prior Late Payments</w:t>
            </w:r>
          </w:p>
        </w:tc>
        <w:tc>
          <w:tcPr>
            <w:tcW w:w="2400" w:type="dxa"/>
            <w:tcBorders>
              <w:top w:val="single" w:sz="4" w:space="0" w:color="BFBFBF"/>
              <w:left w:val="single" w:sz="4" w:space="0" w:color="BFBFBF"/>
              <w:bottom w:val="single" w:sz="4" w:space="0" w:color="BFBFBF"/>
              <w:right w:val="single" w:sz="4" w:space="0" w:color="BFBFBF"/>
            </w:tcBorders>
            <w:shd w:val="clear" w:color="auto" w:fill="000000"/>
            <w:tcMar>
              <w:top w:w="80" w:type="dxa"/>
              <w:left w:w="100" w:type="dxa"/>
              <w:bottom w:w="80" w:type="dxa"/>
              <w:right w:w="100" w:type="dxa"/>
            </w:tcMar>
            <w:vAlign w:val="center"/>
          </w:tcPr>
          <w:p w14:paraId="5A542319" w14:textId="77777777" w:rsidR="00DB7672" w:rsidRDefault="00000000">
            <w:r>
              <w:rPr>
                <w:b/>
                <w:bCs/>
                <w:color w:val="FFFFFF"/>
                <w:sz w:val="19"/>
                <w:szCs w:val="19"/>
              </w:rPr>
              <w:t>Applicants</w:t>
            </w:r>
          </w:p>
        </w:tc>
        <w:tc>
          <w:tcPr>
            <w:tcW w:w="2400" w:type="dxa"/>
            <w:tcBorders>
              <w:top w:val="single" w:sz="4" w:space="0" w:color="BFBFBF"/>
              <w:left w:val="single" w:sz="4" w:space="0" w:color="BFBFBF"/>
              <w:bottom w:val="single" w:sz="4" w:space="0" w:color="BFBFBF"/>
              <w:right w:val="single" w:sz="4" w:space="0" w:color="BFBFBF"/>
            </w:tcBorders>
            <w:shd w:val="clear" w:color="auto" w:fill="000000"/>
            <w:tcMar>
              <w:top w:w="80" w:type="dxa"/>
              <w:left w:w="100" w:type="dxa"/>
              <w:bottom w:w="80" w:type="dxa"/>
              <w:right w:w="100" w:type="dxa"/>
            </w:tcMar>
            <w:vAlign w:val="center"/>
          </w:tcPr>
          <w:p w14:paraId="68D35D68" w14:textId="77777777" w:rsidR="00DB7672" w:rsidRDefault="00000000">
            <w:r>
              <w:rPr>
                <w:b/>
                <w:bCs/>
                <w:color w:val="FFFFFF"/>
                <w:sz w:val="19"/>
                <w:szCs w:val="19"/>
              </w:rPr>
              <w:t>Delinquency Rate</w:t>
            </w:r>
          </w:p>
        </w:tc>
      </w:tr>
      <w:tr w:rsidR="00DB7672" w14:paraId="3DFD4DA6" w14:textId="77777777">
        <w:tblPrEx>
          <w:tblCellMar>
            <w:top w:w="0" w:type="dxa"/>
            <w:bottom w:w="0" w:type="dxa"/>
          </w:tblCellMar>
        </w:tblPrEx>
        <w:tc>
          <w:tcPr>
            <w:tcW w:w="45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6C55FD7D" w14:textId="77777777" w:rsidR="00DB7672" w:rsidRDefault="00000000">
            <w:r>
              <w:rPr>
                <w:sz w:val="19"/>
                <w:szCs w:val="19"/>
              </w:rPr>
              <w:t>0 late payments</w:t>
            </w:r>
          </w:p>
        </w:tc>
        <w:tc>
          <w:tcPr>
            <w:tcW w:w="2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9EA8FB5" w14:textId="77777777" w:rsidR="00DB7672" w:rsidRDefault="00000000">
            <w:pPr>
              <w:jc w:val="center"/>
            </w:pPr>
            <w:r>
              <w:rPr>
                <w:sz w:val="19"/>
                <w:szCs w:val="19"/>
              </w:rPr>
              <w:t>119,637</w:t>
            </w:r>
          </w:p>
        </w:tc>
        <w:tc>
          <w:tcPr>
            <w:tcW w:w="2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7697F0C9" w14:textId="77777777" w:rsidR="00DB7672" w:rsidRDefault="00000000">
            <w:pPr>
              <w:jc w:val="center"/>
            </w:pPr>
            <w:r>
              <w:rPr>
                <w:sz w:val="19"/>
                <w:szCs w:val="19"/>
              </w:rPr>
              <w:t>2.7%</w:t>
            </w:r>
          </w:p>
        </w:tc>
      </w:tr>
      <w:tr w:rsidR="00DB7672" w14:paraId="7E08E0E3" w14:textId="77777777">
        <w:tblPrEx>
          <w:tblCellMar>
            <w:top w:w="0" w:type="dxa"/>
            <w:bottom w:w="0" w:type="dxa"/>
          </w:tblCellMar>
        </w:tblPrEx>
        <w:tc>
          <w:tcPr>
            <w:tcW w:w="4560" w:type="dxa"/>
            <w:tcBorders>
              <w:top w:val="single" w:sz="4" w:space="0" w:color="BFBFBF"/>
              <w:left w:val="single" w:sz="4" w:space="0" w:color="BFBFBF"/>
              <w:bottom w:val="single" w:sz="4" w:space="0" w:color="BFBFBF"/>
              <w:right w:val="single" w:sz="4" w:space="0" w:color="BFBFBF"/>
            </w:tcBorders>
            <w:shd w:val="clear" w:color="auto" w:fill="F2F2F0"/>
            <w:tcMar>
              <w:top w:w="70" w:type="dxa"/>
              <w:left w:w="100" w:type="dxa"/>
              <w:bottom w:w="70" w:type="dxa"/>
              <w:right w:w="100" w:type="dxa"/>
            </w:tcMar>
            <w:vAlign w:val="center"/>
          </w:tcPr>
          <w:p w14:paraId="3998B23F" w14:textId="77777777" w:rsidR="00DB7672" w:rsidRDefault="00000000">
            <w:r>
              <w:rPr>
                <w:sz w:val="19"/>
                <w:szCs w:val="19"/>
              </w:rPr>
              <w:t>1 late payment</w:t>
            </w:r>
          </w:p>
        </w:tc>
        <w:tc>
          <w:tcPr>
            <w:tcW w:w="2400" w:type="dxa"/>
            <w:tcBorders>
              <w:top w:val="single" w:sz="4" w:space="0" w:color="BFBFBF"/>
              <w:left w:val="single" w:sz="4" w:space="0" w:color="BFBFBF"/>
              <w:bottom w:val="single" w:sz="4" w:space="0" w:color="BFBFBF"/>
              <w:right w:val="single" w:sz="4" w:space="0" w:color="BFBFBF"/>
            </w:tcBorders>
            <w:shd w:val="clear" w:color="auto" w:fill="F2F2F0"/>
            <w:tcMar>
              <w:top w:w="70" w:type="dxa"/>
              <w:left w:w="100" w:type="dxa"/>
              <w:bottom w:w="70" w:type="dxa"/>
              <w:right w:w="100" w:type="dxa"/>
            </w:tcMar>
            <w:vAlign w:val="center"/>
          </w:tcPr>
          <w:p w14:paraId="31FAE5AB" w14:textId="77777777" w:rsidR="00DB7672" w:rsidRDefault="00000000">
            <w:pPr>
              <w:jc w:val="center"/>
            </w:pPr>
            <w:r>
              <w:rPr>
                <w:sz w:val="19"/>
                <w:szCs w:val="19"/>
              </w:rPr>
              <w:t>17,242</w:t>
            </w:r>
          </w:p>
        </w:tc>
        <w:tc>
          <w:tcPr>
            <w:tcW w:w="2400" w:type="dxa"/>
            <w:tcBorders>
              <w:top w:val="single" w:sz="4" w:space="0" w:color="BFBFBF"/>
              <w:left w:val="single" w:sz="4" w:space="0" w:color="BFBFBF"/>
              <w:bottom w:val="single" w:sz="4" w:space="0" w:color="BFBFBF"/>
              <w:right w:val="single" w:sz="4" w:space="0" w:color="BFBFBF"/>
            </w:tcBorders>
            <w:shd w:val="clear" w:color="auto" w:fill="F2F2F0"/>
            <w:tcMar>
              <w:top w:w="70" w:type="dxa"/>
              <w:left w:w="100" w:type="dxa"/>
              <w:bottom w:w="70" w:type="dxa"/>
              <w:right w:w="100" w:type="dxa"/>
            </w:tcMar>
            <w:vAlign w:val="center"/>
          </w:tcPr>
          <w:p w14:paraId="01498F3E" w14:textId="77777777" w:rsidR="00DB7672" w:rsidRDefault="00000000">
            <w:pPr>
              <w:jc w:val="center"/>
            </w:pPr>
            <w:r>
              <w:rPr>
                <w:sz w:val="19"/>
                <w:szCs w:val="19"/>
              </w:rPr>
              <w:t>12.2%</w:t>
            </w:r>
          </w:p>
        </w:tc>
      </w:tr>
      <w:tr w:rsidR="00DB7672" w14:paraId="72254C6A" w14:textId="77777777">
        <w:tblPrEx>
          <w:tblCellMar>
            <w:top w:w="0" w:type="dxa"/>
            <w:bottom w:w="0" w:type="dxa"/>
          </w:tblCellMar>
        </w:tblPrEx>
        <w:tc>
          <w:tcPr>
            <w:tcW w:w="45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5A85A7B" w14:textId="77777777" w:rsidR="00DB7672" w:rsidRDefault="00000000">
            <w:r>
              <w:rPr>
                <w:sz w:val="19"/>
                <w:szCs w:val="19"/>
              </w:rPr>
              <w:t>2 late payments</w:t>
            </w:r>
          </w:p>
        </w:tc>
        <w:tc>
          <w:tcPr>
            <w:tcW w:w="2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6A3E2FF" w14:textId="77777777" w:rsidR="00DB7672" w:rsidRDefault="00000000">
            <w:pPr>
              <w:jc w:val="center"/>
            </w:pPr>
            <w:r>
              <w:rPr>
                <w:sz w:val="19"/>
                <w:szCs w:val="19"/>
              </w:rPr>
              <w:t>5,942</w:t>
            </w:r>
          </w:p>
        </w:tc>
        <w:tc>
          <w:tcPr>
            <w:tcW w:w="2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84820F6" w14:textId="77777777" w:rsidR="00DB7672" w:rsidRDefault="00000000">
            <w:pPr>
              <w:jc w:val="center"/>
            </w:pPr>
            <w:r>
              <w:rPr>
                <w:sz w:val="19"/>
                <w:szCs w:val="19"/>
              </w:rPr>
              <w:t>24.1%</w:t>
            </w:r>
          </w:p>
        </w:tc>
      </w:tr>
      <w:tr w:rsidR="00DB7672" w14:paraId="721A829C" w14:textId="77777777">
        <w:tblPrEx>
          <w:tblCellMar>
            <w:top w:w="0" w:type="dxa"/>
            <w:bottom w:w="0" w:type="dxa"/>
          </w:tblCellMar>
        </w:tblPrEx>
        <w:tc>
          <w:tcPr>
            <w:tcW w:w="4560" w:type="dxa"/>
            <w:tcBorders>
              <w:top w:val="single" w:sz="4" w:space="0" w:color="BFBFBF"/>
              <w:left w:val="single" w:sz="4" w:space="0" w:color="BFBFBF"/>
              <w:bottom w:val="single" w:sz="4" w:space="0" w:color="BFBFBF"/>
              <w:right w:val="single" w:sz="4" w:space="0" w:color="BFBFBF"/>
            </w:tcBorders>
            <w:shd w:val="clear" w:color="auto" w:fill="F2F2F0"/>
            <w:tcMar>
              <w:top w:w="70" w:type="dxa"/>
              <w:left w:w="100" w:type="dxa"/>
              <w:bottom w:w="70" w:type="dxa"/>
              <w:right w:w="100" w:type="dxa"/>
            </w:tcMar>
            <w:vAlign w:val="center"/>
          </w:tcPr>
          <w:p w14:paraId="1BF1708D" w14:textId="77777777" w:rsidR="00DB7672" w:rsidRDefault="00000000">
            <w:r>
              <w:rPr>
                <w:sz w:val="19"/>
                <w:szCs w:val="19"/>
              </w:rPr>
              <w:t>3 or more late payments</w:t>
            </w:r>
          </w:p>
        </w:tc>
        <w:tc>
          <w:tcPr>
            <w:tcW w:w="2400" w:type="dxa"/>
            <w:tcBorders>
              <w:top w:val="single" w:sz="4" w:space="0" w:color="BFBFBF"/>
              <w:left w:val="single" w:sz="4" w:space="0" w:color="BFBFBF"/>
              <w:bottom w:val="single" w:sz="4" w:space="0" w:color="BFBFBF"/>
              <w:right w:val="single" w:sz="4" w:space="0" w:color="BFBFBF"/>
            </w:tcBorders>
            <w:shd w:val="clear" w:color="auto" w:fill="F2F2F0"/>
            <w:tcMar>
              <w:top w:w="70" w:type="dxa"/>
              <w:left w:w="100" w:type="dxa"/>
              <w:bottom w:w="70" w:type="dxa"/>
              <w:right w:w="100" w:type="dxa"/>
            </w:tcMar>
            <w:vAlign w:val="center"/>
          </w:tcPr>
          <w:p w14:paraId="18779662" w14:textId="77777777" w:rsidR="00DB7672" w:rsidRDefault="00000000">
            <w:pPr>
              <w:jc w:val="center"/>
            </w:pPr>
            <w:r>
              <w:rPr>
                <w:sz w:val="19"/>
                <w:szCs w:val="19"/>
              </w:rPr>
              <w:t>7,178</w:t>
            </w:r>
          </w:p>
        </w:tc>
        <w:tc>
          <w:tcPr>
            <w:tcW w:w="2400" w:type="dxa"/>
            <w:tcBorders>
              <w:top w:val="single" w:sz="4" w:space="0" w:color="BFBFBF"/>
              <w:left w:val="single" w:sz="4" w:space="0" w:color="BFBFBF"/>
              <w:bottom w:val="single" w:sz="4" w:space="0" w:color="BFBFBF"/>
              <w:right w:val="single" w:sz="4" w:space="0" w:color="BFBFBF"/>
            </w:tcBorders>
            <w:shd w:val="clear" w:color="auto" w:fill="F2F2F0"/>
            <w:tcMar>
              <w:top w:w="70" w:type="dxa"/>
              <w:left w:w="100" w:type="dxa"/>
              <w:bottom w:w="70" w:type="dxa"/>
              <w:right w:w="100" w:type="dxa"/>
            </w:tcMar>
            <w:vAlign w:val="center"/>
          </w:tcPr>
          <w:p w14:paraId="3ED0FA2E" w14:textId="77777777" w:rsidR="00DB7672" w:rsidRDefault="00000000">
            <w:pPr>
              <w:jc w:val="center"/>
            </w:pPr>
            <w:r>
              <w:rPr>
                <w:sz w:val="19"/>
                <w:szCs w:val="19"/>
              </w:rPr>
              <w:t>44.9%</w:t>
            </w:r>
          </w:p>
        </w:tc>
      </w:tr>
    </w:tbl>
    <w:p w14:paraId="7E119AF2" w14:textId="77777777" w:rsidR="00DB7672" w:rsidRDefault="00000000">
      <w:pPr>
        <w:spacing w:before="60" w:after="260"/>
      </w:pPr>
      <w:r>
        <w:rPr>
          <w:i/>
          <w:iCs/>
          <w:color w:val="595959"/>
          <w:sz w:val="18"/>
          <w:szCs w:val="18"/>
        </w:rPr>
        <w:t>Table 3. Delinquency rate by prior late-payment count, computed in Excel with COUNTIFS and AVERAGEIFS.</w:t>
      </w:r>
    </w:p>
    <w:p w14:paraId="047234EC" w14:textId="77777777" w:rsidR="00DB7672" w:rsidRDefault="00000000">
      <w:pPr>
        <w:spacing w:after="180" w:line="288" w:lineRule="auto"/>
      </w:pPr>
      <w:r>
        <w:t>This is the most dramatic pattern found anywhere in the dataset: an applicant with three or more prior late payments is over 16 times more likely to become seriously delinquent than one with none (44.9% versus 2.7%). Unlike the two SQL findings above, prior late-payment count is not just correlated with risk; it is close to a direct behavioral record of it, which is why it turns out to be such a strong signal.</w:t>
      </w:r>
    </w:p>
    <w:p w14:paraId="2C64F0B7" w14:textId="77777777" w:rsidR="00DB7672" w:rsidRDefault="00000000">
      <w:pPr>
        <w:pStyle w:val="Heading2"/>
        <w:spacing w:before="260" w:after="120"/>
      </w:pPr>
      <w:r>
        <w:rPr>
          <w:b/>
          <w:bCs/>
          <w:color w:val="404040"/>
          <w:sz w:val="24"/>
          <w:szCs w:val="24"/>
        </w:rPr>
        <w:t>Data Quality Check</w:t>
      </w:r>
    </w:p>
    <w:p w14:paraId="3773720D" w14:textId="77777777" w:rsidR="00DB7672" w:rsidRDefault="00000000">
      <w:pPr>
        <w:spacing w:after="180" w:line="288" w:lineRule="auto"/>
      </w:pPr>
      <w:r>
        <w:t>As a final use of the cloud database, a fourth query confirmed that the cleaning flags described earlier survived the load into Azure correctly, by summing each indicator column across all 149,999 rows.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60"/>
        <w:gridCol w:w="2400"/>
        <w:gridCol w:w="2400"/>
      </w:tblGrid>
      <w:tr w:rsidR="00DB7672" w14:paraId="03A2F1B0" w14:textId="77777777">
        <w:tblPrEx>
          <w:tblCellMar>
            <w:top w:w="0" w:type="dxa"/>
            <w:bottom w:w="0" w:type="dxa"/>
          </w:tblCellMar>
        </w:tblPrEx>
        <w:trPr>
          <w:tblHeader/>
        </w:trPr>
        <w:tc>
          <w:tcPr>
            <w:tcW w:w="4560" w:type="dxa"/>
            <w:tcBorders>
              <w:top w:val="single" w:sz="4" w:space="0" w:color="BFBFBF"/>
              <w:left w:val="single" w:sz="4" w:space="0" w:color="BFBFBF"/>
              <w:bottom w:val="single" w:sz="4" w:space="0" w:color="BFBFBF"/>
              <w:right w:val="single" w:sz="4" w:space="0" w:color="BFBFBF"/>
            </w:tcBorders>
            <w:shd w:val="clear" w:color="auto" w:fill="000000"/>
            <w:tcMar>
              <w:top w:w="80" w:type="dxa"/>
              <w:left w:w="100" w:type="dxa"/>
              <w:bottom w:w="80" w:type="dxa"/>
              <w:right w:w="100" w:type="dxa"/>
            </w:tcMar>
            <w:vAlign w:val="center"/>
          </w:tcPr>
          <w:p w14:paraId="62EB20D5" w14:textId="77777777" w:rsidR="00DB7672" w:rsidRDefault="00000000">
            <w:r>
              <w:rPr>
                <w:b/>
                <w:bCs/>
                <w:color w:val="FFFFFF"/>
                <w:sz w:val="19"/>
                <w:szCs w:val="19"/>
              </w:rPr>
              <w:t>Cleaning Flag</w:t>
            </w:r>
          </w:p>
        </w:tc>
        <w:tc>
          <w:tcPr>
            <w:tcW w:w="2400" w:type="dxa"/>
            <w:tcBorders>
              <w:top w:val="single" w:sz="4" w:space="0" w:color="BFBFBF"/>
              <w:left w:val="single" w:sz="4" w:space="0" w:color="BFBFBF"/>
              <w:bottom w:val="single" w:sz="4" w:space="0" w:color="BFBFBF"/>
              <w:right w:val="single" w:sz="4" w:space="0" w:color="BFBFBF"/>
            </w:tcBorders>
            <w:shd w:val="clear" w:color="auto" w:fill="000000"/>
            <w:tcMar>
              <w:top w:w="80" w:type="dxa"/>
              <w:left w:w="100" w:type="dxa"/>
              <w:bottom w:w="80" w:type="dxa"/>
              <w:right w:w="100" w:type="dxa"/>
            </w:tcMar>
            <w:vAlign w:val="center"/>
          </w:tcPr>
          <w:p w14:paraId="7157697C" w14:textId="77777777" w:rsidR="00DB7672" w:rsidRDefault="00000000">
            <w:r>
              <w:rPr>
                <w:b/>
                <w:bCs/>
                <w:color w:val="FFFFFF"/>
                <w:sz w:val="19"/>
                <w:szCs w:val="19"/>
              </w:rPr>
              <w:t>Rows Flagged</w:t>
            </w:r>
          </w:p>
        </w:tc>
        <w:tc>
          <w:tcPr>
            <w:tcW w:w="2400" w:type="dxa"/>
            <w:tcBorders>
              <w:top w:val="single" w:sz="4" w:space="0" w:color="BFBFBF"/>
              <w:left w:val="single" w:sz="4" w:space="0" w:color="BFBFBF"/>
              <w:bottom w:val="single" w:sz="4" w:space="0" w:color="BFBFBF"/>
              <w:right w:val="single" w:sz="4" w:space="0" w:color="BFBFBF"/>
            </w:tcBorders>
            <w:shd w:val="clear" w:color="auto" w:fill="000000"/>
            <w:tcMar>
              <w:top w:w="80" w:type="dxa"/>
              <w:left w:w="100" w:type="dxa"/>
              <w:bottom w:w="80" w:type="dxa"/>
              <w:right w:w="100" w:type="dxa"/>
            </w:tcMar>
            <w:vAlign w:val="center"/>
          </w:tcPr>
          <w:p w14:paraId="4176BFA5" w14:textId="77777777" w:rsidR="00DB7672" w:rsidRDefault="00000000">
            <w:r>
              <w:rPr>
                <w:b/>
                <w:bCs/>
                <w:color w:val="FFFFFF"/>
                <w:sz w:val="19"/>
                <w:szCs w:val="19"/>
              </w:rPr>
              <w:t>Share of Applicants</w:t>
            </w:r>
          </w:p>
        </w:tc>
      </w:tr>
      <w:tr w:rsidR="00DB7672" w14:paraId="63F10AE3" w14:textId="77777777">
        <w:tblPrEx>
          <w:tblCellMar>
            <w:top w:w="0" w:type="dxa"/>
            <w:bottom w:w="0" w:type="dxa"/>
          </w:tblCellMar>
        </w:tblPrEx>
        <w:tc>
          <w:tcPr>
            <w:tcW w:w="45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D1EB120" w14:textId="77777777" w:rsidR="00DB7672" w:rsidRDefault="00000000">
            <w:r>
              <w:rPr>
                <w:sz w:val="19"/>
                <w:szCs w:val="19"/>
              </w:rPr>
              <w:t>Income not reported (imputed)</w:t>
            </w:r>
          </w:p>
        </w:tc>
        <w:tc>
          <w:tcPr>
            <w:tcW w:w="2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D7DD757" w14:textId="77777777" w:rsidR="00DB7672" w:rsidRDefault="00000000">
            <w:pPr>
              <w:jc w:val="center"/>
            </w:pPr>
            <w:r>
              <w:rPr>
                <w:sz w:val="19"/>
                <w:szCs w:val="19"/>
              </w:rPr>
              <w:t>29,731</w:t>
            </w:r>
          </w:p>
        </w:tc>
        <w:tc>
          <w:tcPr>
            <w:tcW w:w="2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FBAFFB8" w14:textId="77777777" w:rsidR="00DB7672" w:rsidRDefault="00000000">
            <w:pPr>
              <w:jc w:val="center"/>
            </w:pPr>
            <w:r>
              <w:rPr>
                <w:sz w:val="19"/>
                <w:szCs w:val="19"/>
              </w:rPr>
              <w:t>19.82%</w:t>
            </w:r>
          </w:p>
        </w:tc>
      </w:tr>
      <w:tr w:rsidR="00DB7672" w14:paraId="429BADF4" w14:textId="77777777">
        <w:tblPrEx>
          <w:tblCellMar>
            <w:top w:w="0" w:type="dxa"/>
            <w:bottom w:w="0" w:type="dxa"/>
          </w:tblCellMar>
        </w:tblPrEx>
        <w:tc>
          <w:tcPr>
            <w:tcW w:w="4560" w:type="dxa"/>
            <w:tcBorders>
              <w:top w:val="single" w:sz="4" w:space="0" w:color="BFBFBF"/>
              <w:left w:val="single" w:sz="4" w:space="0" w:color="BFBFBF"/>
              <w:bottom w:val="single" w:sz="4" w:space="0" w:color="BFBFBF"/>
              <w:right w:val="single" w:sz="4" w:space="0" w:color="BFBFBF"/>
            </w:tcBorders>
            <w:shd w:val="clear" w:color="auto" w:fill="F2F2F0"/>
            <w:tcMar>
              <w:top w:w="70" w:type="dxa"/>
              <w:left w:w="100" w:type="dxa"/>
              <w:bottom w:w="70" w:type="dxa"/>
              <w:right w:w="100" w:type="dxa"/>
            </w:tcMar>
            <w:vAlign w:val="center"/>
          </w:tcPr>
          <w:p w14:paraId="313B8686" w14:textId="77777777" w:rsidR="00DB7672" w:rsidRDefault="00000000">
            <w:r>
              <w:rPr>
                <w:sz w:val="19"/>
                <w:szCs w:val="19"/>
              </w:rPr>
              <w:t>Placeholder delinquency code capped</w:t>
            </w:r>
          </w:p>
        </w:tc>
        <w:tc>
          <w:tcPr>
            <w:tcW w:w="2400" w:type="dxa"/>
            <w:tcBorders>
              <w:top w:val="single" w:sz="4" w:space="0" w:color="BFBFBF"/>
              <w:left w:val="single" w:sz="4" w:space="0" w:color="BFBFBF"/>
              <w:bottom w:val="single" w:sz="4" w:space="0" w:color="BFBFBF"/>
              <w:right w:val="single" w:sz="4" w:space="0" w:color="BFBFBF"/>
            </w:tcBorders>
            <w:shd w:val="clear" w:color="auto" w:fill="F2F2F0"/>
            <w:tcMar>
              <w:top w:w="70" w:type="dxa"/>
              <w:left w:w="100" w:type="dxa"/>
              <w:bottom w:w="70" w:type="dxa"/>
              <w:right w:w="100" w:type="dxa"/>
            </w:tcMar>
            <w:vAlign w:val="center"/>
          </w:tcPr>
          <w:p w14:paraId="53A49746" w14:textId="77777777" w:rsidR="00DB7672" w:rsidRDefault="00000000">
            <w:pPr>
              <w:jc w:val="center"/>
            </w:pPr>
            <w:r>
              <w:rPr>
                <w:sz w:val="19"/>
                <w:szCs w:val="19"/>
              </w:rPr>
              <w:t>269</w:t>
            </w:r>
          </w:p>
        </w:tc>
        <w:tc>
          <w:tcPr>
            <w:tcW w:w="2400" w:type="dxa"/>
            <w:tcBorders>
              <w:top w:val="single" w:sz="4" w:space="0" w:color="BFBFBF"/>
              <w:left w:val="single" w:sz="4" w:space="0" w:color="BFBFBF"/>
              <w:bottom w:val="single" w:sz="4" w:space="0" w:color="BFBFBF"/>
              <w:right w:val="single" w:sz="4" w:space="0" w:color="BFBFBF"/>
            </w:tcBorders>
            <w:shd w:val="clear" w:color="auto" w:fill="F2F2F0"/>
            <w:tcMar>
              <w:top w:w="70" w:type="dxa"/>
              <w:left w:w="100" w:type="dxa"/>
              <w:bottom w:w="70" w:type="dxa"/>
              <w:right w:w="100" w:type="dxa"/>
            </w:tcMar>
            <w:vAlign w:val="center"/>
          </w:tcPr>
          <w:p w14:paraId="6C4C350A" w14:textId="77777777" w:rsidR="00DB7672" w:rsidRDefault="00000000">
            <w:pPr>
              <w:jc w:val="center"/>
            </w:pPr>
            <w:r>
              <w:rPr>
                <w:sz w:val="19"/>
                <w:szCs w:val="19"/>
              </w:rPr>
              <w:t>0.18%</w:t>
            </w:r>
          </w:p>
        </w:tc>
      </w:tr>
      <w:tr w:rsidR="00DB7672" w14:paraId="3ECB26A0" w14:textId="77777777">
        <w:tblPrEx>
          <w:tblCellMar>
            <w:top w:w="0" w:type="dxa"/>
            <w:bottom w:w="0" w:type="dxa"/>
          </w:tblCellMar>
        </w:tblPrEx>
        <w:tc>
          <w:tcPr>
            <w:tcW w:w="45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696D4414" w14:textId="77777777" w:rsidR="00DB7672" w:rsidRDefault="00000000">
            <w:r>
              <w:rPr>
                <w:sz w:val="19"/>
                <w:szCs w:val="19"/>
              </w:rPr>
              <w:t>Debt ratio capped (99th percentile)</w:t>
            </w:r>
          </w:p>
        </w:tc>
        <w:tc>
          <w:tcPr>
            <w:tcW w:w="2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FD99653" w14:textId="77777777" w:rsidR="00DB7672" w:rsidRDefault="00000000">
            <w:pPr>
              <w:jc w:val="center"/>
            </w:pPr>
            <w:r>
              <w:rPr>
                <w:sz w:val="19"/>
                <w:szCs w:val="19"/>
              </w:rPr>
              <w:t>1,500</w:t>
            </w:r>
          </w:p>
        </w:tc>
        <w:tc>
          <w:tcPr>
            <w:tcW w:w="2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7968A692" w14:textId="77777777" w:rsidR="00DB7672" w:rsidRDefault="00000000">
            <w:pPr>
              <w:jc w:val="center"/>
            </w:pPr>
            <w:r>
              <w:rPr>
                <w:sz w:val="19"/>
                <w:szCs w:val="19"/>
              </w:rPr>
              <w:t>1.00%</w:t>
            </w:r>
          </w:p>
        </w:tc>
      </w:tr>
      <w:tr w:rsidR="00DB7672" w14:paraId="00B712E2" w14:textId="77777777">
        <w:tblPrEx>
          <w:tblCellMar>
            <w:top w:w="0" w:type="dxa"/>
            <w:bottom w:w="0" w:type="dxa"/>
          </w:tblCellMar>
        </w:tblPrEx>
        <w:tc>
          <w:tcPr>
            <w:tcW w:w="4560" w:type="dxa"/>
            <w:tcBorders>
              <w:top w:val="single" w:sz="4" w:space="0" w:color="BFBFBF"/>
              <w:left w:val="single" w:sz="4" w:space="0" w:color="BFBFBF"/>
              <w:bottom w:val="single" w:sz="4" w:space="0" w:color="BFBFBF"/>
              <w:right w:val="single" w:sz="4" w:space="0" w:color="BFBFBF"/>
            </w:tcBorders>
            <w:shd w:val="clear" w:color="auto" w:fill="F2F2F0"/>
            <w:tcMar>
              <w:top w:w="70" w:type="dxa"/>
              <w:left w:w="100" w:type="dxa"/>
              <w:bottom w:w="70" w:type="dxa"/>
              <w:right w:w="100" w:type="dxa"/>
            </w:tcMar>
            <w:vAlign w:val="center"/>
          </w:tcPr>
          <w:p w14:paraId="12959E12" w14:textId="77777777" w:rsidR="00DB7672" w:rsidRDefault="00000000">
            <w:r>
              <w:rPr>
                <w:sz w:val="19"/>
                <w:szCs w:val="19"/>
              </w:rPr>
              <w:t>Revolving utilization capped (99th percentile)</w:t>
            </w:r>
          </w:p>
        </w:tc>
        <w:tc>
          <w:tcPr>
            <w:tcW w:w="2400" w:type="dxa"/>
            <w:tcBorders>
              <w:top w:val="single" w:sz="4" w:space="0" w:color="BFBFBF"/>
              <w:left w:val="single" w:sz="4" w:space="0" w:color="BFBFBF"/>
              <w:bottom w:val="single" w:sz="4" w:space="0" w:color="BFBFBF"/>
              <w:right w:val="single" w:sz="4" w:space="0" w:color="BFBFBF"/>
            </w:tcBorders>
            <w:shd w:val="clear" w:color="auto" w:fill="F2F2F0"/>
            <w:tcMar>
              <w:top w:w="70" w:type="dxa"/>
              <w:left w:w="100" w:type="dxa"/>
              <w:bottom w:w="70" w:type="dxa"/>
              <w:right w:w="100" w:type="dxa"/>
            </w:tcMar>
            <w:vAlign w:val="center"/>
          </w:tcPr>
          <w:p w14:paraId="10DDD921" w14:textId="77777777" w:rsidR="00DB7672" w:rsidRDefault="00000000">
            <w:pPr>
              <w:jc w:val="center"/>
            </w:pPr>
            <w:r>
              <w:rPr>
                <w:sz w:val="19"/>
                <w:szCs w:val="19"/>
              </w:rPr>
              <w:t>1,500</w:t>
            </w:r>
          </w:p>
        </w:tc>
        <w:tc>
          <w:tcPr>
            <w:tcW w:w="2400" w:type="dxa"/>
            <w:tcBorders>
              <w:top w:val="single" w:sz="4" w:space="0" w:color="BFBFBF"/>
              <w:left w:val="single" w:sz="4" w:space="0" w:color="BFBFBF"/>
              <w:bottom w:val="single" w:sz="4" w:space="0" w:color="BFBFBF"/>
              <w:right w:val="single" w:sz="4" w:space="0" w:color="BFBFBF"/>
            </w:tcBorders>
            <w:shd w:val="clear" w:color="auto" w:fill="F2F2F0"/>
            <w:tcMar>
              <w:top w:w="70" w:type="dxa"/>
              <w:left w:w="100" w:type="dxa"/>
              <w:bottom w:w="70" w:type="dxa"/>
              <w:right w:w="100" w:type="dxa"/>
            </w:tcMar>
            <w:vAlign w:val="center"/>
          </w:tcPr>
          <w:p w14:paraId="29DF907F" w14:textId="77777777" w:rsidR="00DB7672" w:rsidRDefault="00000000">
            <w:pPr>
              <w:jc w:val="center"/>
            </w:pPr>
            <w:r>
              <w:rPr>
                <w:sz w:val="19"/>
                <w:szCs w:val="19"/>
              </w:rPr>
              <w:t>1.00%</w:t>
            </w:r>
          </w:p>
        </w:tc>
      </w:tr>
    </w:tbl>
    <w:p w14:paraId="0A5C2B2A" w14:textId="77777777" w:rsidR="00DB7672" w:rsidRDefault="00000000">
      <w:pPr>
        <w:spacing w:before="60" w:after="260"/>
      </w:pPr>
      <w:r>
        <w:rPr>
          <w:i/>
          <w:iCs/>
          <w:color w:val="595959"/>
          <w:sz w:val="18"/>
          <w:szCs w:val="18"/>
        </w:rPr>
        <w:lastRenderedPageBreak/>
        <w:t>Table 4. Row counts behind each data-cleaning flag, verified with SQL against the Azure-hosted table.</w:t>
      </w:r>
    </w:p>
    <w:p w14:paraId="0CF0B38B" w14:textId="77777777" w:rsidR="00DB7672" w:rsidRDefault="00000000">
      <w:pPr>
        <w:spacing w:after="180" w:line="288" w:lineRule="auto"/>
      </w:pPr>
      <w:r>
        <w:t xml:space="preserve">Every figure </w:t>
      </w:r>
      <w:proofErr w:type="gramStart"/>
      <w:r>
        <w:t>matches</w:t>
      </w:r>
      <w:proofErr w:type="gramEnd"/>
      <w:r>
        <w:t xml:space="preserve"> what was documented during the original cleaning step (about 20% income imputation and 1% capping on each </w:t>
      </w:r>
      <w:proofErr w:type="spellStart"/>
      <w:r>
        <w:t>winsorized</w:t>
      </w:r>
      <w:proofErr w:type="spellEnd"/>
      <w:r>
        <w:t xml:space="preserve"> column), confirming the data made it into the cloud database intact.</w:t>
      </w:r>
    </w:p>
    <w:p w14:paraId="09248CD7" w14:textId="77777777" w:rsidR="00DB7672" w:rsidRDefault="00000000">
      <w:pPr>
        <w:pStyle w:val="Heading1"/>
        <w:pBdr>
          <w:bottom w:val="single" w:sz="6" w:space="4" w:color="000000"/>
        </w:pBdr>
        <w:spacing w:before="360" w:after="160"/>
      </w:pPr>
      <w:r>
        <w:rPr>
          <w:b/>
          <w:bCs/>
          <w:color w:val="000000"/>
          <w:sz w:val="30"/>
          <w:szCs w:val="30"/>
        </w:rPr>
        <w:t>Predictive Modeling: Comparing Two Approaches</w:t>
      </w:r>
    </w:p>
    <w:p w14:paraId="5A3BCBD0" w14:textId="77777777" w:rsidR="00DB7672" w:rsidRDefault="00000000">
      <w:pPr>
        <w:spacing w:after="180" w:line="288" w:lineRule="auto"/>
      </w:pPr>
      <w:r>
        <w:t>Two models were trained on the same fourteen input columns (the ten original applicant variables plus the four cleaning-flag columns), using a held-out test set of 45,000 applicants the models never saw during training.</w:t>
      </w:r>
    </w:p>
    <w:p w14:paraId="4306D97E" w14:textId="77777777" w:rsidR="00DB7672" w:rsidRDefault="00000000">
      <w:pPr>
        <w:pStyle w:val="Heading2"/>
        <w:spacing w:before="260" w:after="120"/>
      </w:pPr>
      <w:r>
        <w:rPr>
          <w:b/>
          <w:bCs/>
          <w:color w:val="404040"/>
          <w:sz w:val="24"/>
          <w:szCs w:val="24"/>
        </w:rPr>
        <w:t>Logistic Regression</w:t>
      </w:r>
    </w:p>
    <w:p w14:paraId="78D2A0B8" w14:textId="77777777" w:rsidR="00DB7672" w:rsidRDefault="00000000">
      <w:pPr>
        <w:spacing w:after="180" w:line="288" w:lineRule="auto"/>
      </w:pPr>
      <w:r>
        <w:t>Logistic regression is a simple, well-understood model that estimates risk as a weighted combination of the input variables. Its main advantage is explainability: it is straightforward to say exactly how much each variable pushes an applicant's risk up or down. It was trained on standardized inputs using a standard scikit-learn pipeline.</w:t>
      </w:r>
    </w:p>
    <w:p w14:paraId="436CACE7" w14:textId="77777777" w:rsidR="00DB7672" w:rsidRDefault="00000000">
      <w:pPr>
        <w:pStyle w:val="Heading2"/>
        <w:spacing w:before="260" w:after="120"/>
      </w:pPr>
      <w:r>
        <w:rPr>
          <w:b/>
          <w:bCs/>
          <w:color w:val="404040"/>
          <w:sz w:val="24"/>
          <w:szCs w:val="24"/>
        </w:rPr>
        <w:t>Gradient Boosting</w:t>
      </w:r>
    </w:p>
    <w:p w14:paraId="3B31EFB6" w14:textId="77777777" w:rsidR="00DB7672" w:rsidRDefault="00000000">
      <w:pPr>
        <w:spacing w:after="180" w:line="288" w:lineRule="auto"/>
      </w:pPr>
      <w:r>
        <w:t xml:space="preserve">Gradient boosting (using </w:t>
      </w:r>
      <w:proofErr w:type="spellStart"/>
      <w:r>
        <w:t>XGBoost</w:t>
      </w:r>
      <w:proofErr w:type="spellEnd"/>
      <w:r>
        <w:t>) builds risk estimates from many small decision trees, each one correcting the mistakes of the trees before it. It can capture interactions between variables, such as “high utilization matters more for younger applicants,” that a logistic regression cannot represent directly. The tradeoff is that it is harder to explain any single prediction.</w:t>
      </w:r>
    </w:p>
    <w:p w14:paraId="05C5F223" w14:textId="77777777" w:rsidR="00DB7672" w:rsidRDefault="00000000">
      <w:pPr>
        <w:pStyle w:val="Heading2"/>
        <w:spacing w:before="260" w:after="120"/>
      </w:pPr>
      <w:r>
        <w:rPr>
          <w:b/>
          <w:bCs/>
          <w:color w:val="404040"/>
          <w:sz w:val="24"/>
          <w:szCs w:val="24"/>
        </w:rPr>
        <w:t>Calibration: Making the Probabilities Trustworthy</w:t>
      </w:r>
    </w:p>
    <w:p w14:paraId="15E6D41A" w14:textId="77777777" w:rsidR="00DB7672" w:rsidRDefault="00000000">
      <w:pPr>
        <w:spacing w:after="180" w:line="288" w:lineRule="auto"/>
      </w:pPr>
      <w:r>
        <w:t>A model's raw output is only useful if a predicted 10% risk actually behaves like a 10% risk in practice. Gradient boosting models are known to be overconfident by default, so a calibration check was run. Platt scaling (sigmoid calibration) actually made the gradient boosting model's calibration slightly worse. Isotonic regression, a more flexible calibration method, fixed this cleanly, improving the calibration error (Brier score) without hurting the model's ability to rank applicants by risk. The isotonic-calibrated gradient boosting model is the one used for every result in the rest of this document.</w:t>
      </w:r>
    </w:p>
    <w:p w14:paraId="5363A370" w14:textId="77777777" w:rsidR="00DB7672" w:rsidRDefault="00000000">
      <w:pPr>
        <w:spacing w:before="120"/>
        <w:jc w:val="center"/>
      </w:pPr>
      <w:r>
        <w:rPr>
          <w:noProof/>
        </w:rPr>
        <w:lastRenderedPageBreak/>
        <w:drawing>
          <wp:inline distT="0" distB="0" distL="0" distR="0" wp14:anchorId="5C8A3E3C" wp14:editId="3E827D68">
            <wp:extent cx="4762500" cy="36099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62500" cy="3609975"/>
                    </a:xfrm>
                    <a:prstGeom prst="rect">
                      <a:avLst/>
                    </a:prstGeom>
                  </pic:spPr>
                </pic:pic>
              </a:graphicData>
            </a:graphic>
          </wp:inline>
        </w:drawing>
      </w:r>
    </w:p>
    <w:p w14:paraId="3081F028" w14:textId="77777777" w:rsidR="00DB7672" w:rsidRDefault="00000000">
      <w:pPr>
        <w:spacing w:before="60" w:after="260"/>
      </w:pPr>
      <w:r>
        <w:rPr>
          <w:i/>
          <w:iCs/>
          <w:color w:val="595959"/>
          <w:sz w:val="18"/>
          <w:szCs w:val="18"/>
        </w:rPr>
        <w:t>Figure 1. ROC curve comparison: the gradient boosting model dominates the logistic regression model across every threshold.</w:t>
      </w:r>
    </w:p>
    <w:p w14:paraId="03E6FAAA" w14:textId="77777777" w:rsidR="00DB7672" w:rsidRDefault="00000000">
      <w:pPr>
        <w:spacing w:before="120"/>
        <w:jc w:val="center"/>
      </w:pPr>
      <w:r>
        <w:rPr>
          <w:noProof/>
        </w:rPr>
        <w:drawing>
          <wp:inline distT="0" distB="0" distL="0" distR="0" wp14:anchorId="2F11D10E" wp14:editId="598DCA7F">
            <wp:extent cx="4762500" cy="36099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62500" cy="3609975"/>
                    </a:xfrm>
                    <a:prstGeom prst="rect">
                      <a:avLst/>
                    </a:prstGeom>
                  </pic:spPr>
                </pic:pic>
              </a:graphicData>
            </a:graphic>
          </wp:inline>
        </w:drawing>
      </w:r>
    </w:p>
    <w:p w14:paraId="4F2AEDD9" w14:textId="77777777" w:rsidR="00DB7672" w:rsidRDefault="00000000">
      <w:pPr>
        <w:spacing w:before="60" w:after="260"/>
      </w:pPr>
      <w:r>
        <w:rPr>
          <w:i/>
          <w:iCs/>
          <w:color w:val="595959"/>
          <w:sz w:val="18"/>
          <w:szCs w:val="18"/>
        </w:rPr>
        <w:t>Figure 2. Calibration reliability curve: after isotonic calibration, the gradient boosting model's predicted probabilities closely track actual outcomes.</w:t>
      </w:r>
    </w:p>
    <w:p w14:paraId="3CF39079" w14:textId="77777777" w:rsidR="00DB7672" w:rsidRDefault="00000000">
      <w:pPr>
        <w:pStyle w:val="Heading2"/>
        <w:spacing w:before="260" w:after="120"/>
      </w:pPr>
      <w:r>
        <w:rPr>
          <w:b/>
          <w:bCs/>
          <w:color w:val="404040"/>
          <w:sz w:val="24"/>
          <w:szCs w:val="24"/>
        </w:rPr>
        <w:lastRenderedPageBreak/>
        <w:t>Performance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60"/>
        <w:gridCol w:w="2400"/>
        <w:gridCol w:w="2400"/>
      </w:tblGrid>
      <w:tr w:rsidR="00DB7672" w14:paraId="55B5AD42" w14:textId="77777777">
        <w:tblPrEx>
          <w:tblCellMar>
            <w:top w:w="0" w:type="dxa"/>
            <w:bottom w:w="0" w:type="dxa"/>
          </w:tblCellMar>
        </w:tblPrEx>
        <w:trPr>
          <w:tblHeader/>
        </w:trPr>
        <w:tc>
          <w:tcPr>
            <w:tcW w:w="4560" w:type="dxa"/>
            <w:tcBorders>
              <w:top w:val="single" w:sz="4" w:space="0" w:color="BFBFBF"/>
              <w:left w:val="single" w:sz="4" w:space="0" w:color="BFBFBF"/>
              <w:bottom w:val="single" w:sz="4" w:space="0" w:color="BFBFBF"/>
              <w:right w:val="single" w:sz="4" w:space="0" w:color="BFBFBF"/>
            </w:tcBorders>
            <w:shd w:val="clear" w:color="auto" w:fill="000000"/>
            <w:tcMar>
              <w:top w:w="80" w:type="dxa"/>
              <w:left w:w="100" w:type="dxa"/>
              <w:bottom w:w="80" w:type="dxa"/>
              <w:right w:w="100" w:type="dxa"/>
            </w:tcMar>
            <w:vAlign w:val="center"/>
          </w:tcPr>
          <w:p w14:paraId="66FA4859" w14:textId="77777777" w:rsidR="00DB7672" w:rsidRDefault="00000000">
            <w:r>
              <w:rPr>
                <w:b/>
                <w:bCs/>
                <w:color w:val="FFFFFF"/>
                <w:sz w:val="19"/>
                <w:szCs w:val="19"/>
              </w:rPr>
              <w:t>Metric</w:t>
            </w:r>
          </w:p>
        </w:tc>
        <w:tc>
          <w:tcPr>
            <w:tcW w:w="2400" w:type="dxa"/>
            <w:tcBorders>
              <w:top w:val="single" w:sz="4" w:space="0" w:color="BFBFBF"/>
              <w:left w:val="single" w:sz="4" w:space="0" w:color="BFBFBF"/>
              <w:bottom w:val="single" w:sz="4" w:space="0" w:color="BFBFBF"/>
              <w:right w:val="single" w:sz="4" w:space="0" w:color="BFBFBF"/>
            </w:tcBorders>
            <w:shd w:val="clear" w:color="auto" w:fill="000000"/>
            <w:tcMar>
              <w:top w:w="80" w:type="dxa"/>
              <w:left w:w="100" w:type="dxa"/>
              <w:bottom w:w="80" w:type="dxa"/>
              <w:right w:w="100" w:type="dxa"/>
            </w:tcMar>
            <w:vAlign w:val="center"/>
          </w:tcPr>
          <w:p w14:paraId="2AB668BB" w14:textId="77777777" w:rsidR="00DB7672" w:rsidRDefault="00000000">
            <w:r>
              <w:rPr>
                <w:b/>
                <w:bCs/>
                <w:color w:val="FFFFFF"/>
                <w:sz w:val="19"/>
                <w:szCs w:val="19"/>
              </w:rPr>
              <w:t>Logistic Regression</w:t>
            </w:r>
          </w:p>
        </w:tc>
        <w:tc>
          <w:tcPr>
            <w:tcW w:w="2400" w:type="dxa"/>
            <w:tcBorders>
              <w:top w:val="single" w:sz="4" w:space="0" w:color="BFBFBF"/>
              <w:left w:val="single" w:sz="4" w:space="0" w:color="BFBFBF"/>
              <w:bottom w:val="single" w:sz="4" w:space="0" w:color="BFBFBF"/>
              <w:right w:val="single" w:sz="4" w:space="0" w:color="BFBFBF"/>
            </w:tcBorders>
            <w:shd w:val="clear" w:color="auto" w:fill="000000"/>
            <w:tcMar>
              <w:top w:w="80" w:type="dxa"/>
              <w:left w:w="100" w:type="dxa"/>
              <w:bottom w:w="80" w:type="dxa"/>
              <w:right w:w="100" w:type="dxa"/>
            </w:tcMar>
            <w:vAlign w:val="center"/>
          </w:tcPr>
          <w:p w14:paraId="32DCA514" w14:textId="77777777" w:rsidR="00DB7672" w:rsidRDefault="00000000">
            <w:r>
              <w:rPr>
                <w:b/>
                <w:bCs/>
                <w:color w:val="FFFFFF"/>
                <w:sz w:val="19"/>
                <w:szCs w:val="19"/>
              </w:rPr>
              <w:t>Gradient Boosting (Final)</w:t>
            </w:r>
          </w:p>
        </w:tc>
      </w:tr>
      <w:tr w:rsidR="00DB7672" w14:paraId="1F0B46AE" w14:textId="77777777">
        <w:tblPrEx>
          <w:tblCellMar>
            <w:top w:w="0" w:type="dxa"/>
            <w:bottom w:w="0" w:type="dxa"/>
          </w:tblCellMar>
        </w:tblPrEx>
        <w:tc>
          <w:tcPr>
            <w:tcW w:w="45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5C49146" w14:textId="77777777" w:rsidR="00DB7672" w:rsidRDefault="00000000">
            <w:r>
              <w:rPr>
                <w:sz w:val="19"/>
                <w:szCs w:val="19"/>
              </w:rPr>
              <w:t>ROC AUC</w:t>
            </w:r>
          </w:p>
        </w:tc>
        <w:tc>
          <w:tcPr>
            <w:tcW w:w="2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105EB2B" w14:textId="77777777" w:rsidR="00DB7672" w:rsidRDefault="00000000">
            <w:pPr>
              <w:jc w:val="center"/>
            </w:pPr>
            <w:r>
              <w:rPr>
                <w:sz w:val="19"/>
                <w:szCs w:val="19"/>
              </w:rPr>
              <w:t>0.853</w:t>
            </w:r>
          </w:p>
        </w:tc>
        <w:tc>
          <w:tcPr>
            <w:tcW w:w="2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6B1BA80F" w14:textId="77777777" w:rsidR="00DB7672" w:rsidRDefault="00000000">
            <w:pPr>
              <w:jc w:val="center"/>
            </w:pPr>
            <w:r>
              <w:rPr>
                <w:sz w:val="19"/>
                <w:szCs w:val="19"/>
              </w:rPr>
              <w:t>0.868</w:t>
            </w:r>
          </w:p>
        </w:tc>
      </w:tr>
      <w:tr w:rsidR="00DB7672" w14:paraId="232BAFA6" w14:textId="77777777">
        <w:tblPrEx>
          <w:tblCellMar>
            <w:top w:w="0" w:type="dxa"/>
            <w:bottom w:w="0" w:type="dxa"/>
          </w:tblCellMar>
        </w:tblPrEx>
        <w:tc>
          <w:tcPr>
            <w:tcW w:w="4560" w:type="dxa"/>
            <w:tcBorders>
              <w:top w:val="single" w:sz="4" w:space="0" w:color="BFBFBF"/>
              <w:left w:val="single" w:sz="4" w:space="0" w:color="BFBFBF"/>
              <w:bottom w:val="single" w:sz="4" w:space="0" w:color="BFBFBF"/>
              <w:right w:val="single" w:sz="4" w:space="0" w:color="BFBFBF"/>
            </w:tcBorders>
            <w:shd w:val="clear" w:color="auto" w:fill="F2F2F0"/>
            <w:tcMar>
              <w:top w:w="70" w:type="dxa"/>
              <w:left w:w="100" w:type="dxa"/>
              <w:bottom w:w="70" w:type="dxa"/>
              <w:right w:w="100" w:type="dxa"/>
            </w:tcMar>
            <w:vAlign w:val="center"/>
          </w:tcPr>
          <w:p w14:paraId="0EA3452D" w14:textId="77777777" w:rsidR="00DB7672" w:rsidRDefault="00000000">
            <w:r>
              <w:rPr>
                <w:sz w:val="19"/>
                <w:szCs w:val="19"/>
              </w:rPr>
              <w:t>PR AUC</w:t>
            </w:r>
          </w:p>
        </w:tc>
        <w:tc>
          <w:tcPr>
            <w:tcW w:w="2400" w:type="dxa"/>
            <w:tcBorders>
              <w:top w:val="single" w:sz="4" w:space="0" w:color="BFBFBF"/>
              <w:left w:val="single" w:sz="4" w:space="0" w:color="BFBFBF"/>
              <w:bottom w:val="single" w:sz="4" w:space="0" w:color="BFBFBF"/>
              <w:right w:val="single" w:sz="4" w:space="0" w:color="BFBFBF"/>
            </w:tcBorders>
            <w:shd w:val="clear" w:color="auto" w:fill="F2F2F0"/>
            <w:tcMar>
              <w:top w:w="70" w:type="dxa"/>
              <w:left w:w="100" w:type="dxa"/>
              <w:bottom w:w="70" w:type="dxa"/>
              <w:right w:w="100" w:type="dxa"/>
            </w:tcMar>
            <w:vAlign w:val="center"/>
          </w:tcPr>
          <w:p w14:paraId="28A17929" w14:textId="77777777" w:rsidR="00DB7672" w:rsidRDefault="00000000">
            <w:pPr>
              <w:jc w:val="center"/>
            </w:pPr>
            <w:r>
              <w:rPr>
                <w:sz w:val="19"/>
                <w:szCs w:val="19"/>
              </w:rPr>
              <w:t>0.382</w:t>
            </w:r>
          </w:p>
        </w:tc>
        <w:tc>
          <w:tcPr>
            <w:tcW w:w="2400" w:type="dxa"/>
            <w:tcBorders>
              <w:top w:val="single" w:sz="4" w:space="0" w:color="BFBFBF"/>
              <w:left w:val="single" w:sz="4" w:space="0" w:color="BFBFBF"/>
              <w:bottom w:val="single" w:sz="4" w:space="0" w:color="BFBFBF"/>
              <w:right w:val="single" w:sz="4" w:space="0" w:color="BFBFBF"/>
            </w:tcBorders>
            <w:shd w:val="clear" w:color="auto" w:fill="F2F2F0"/>
            <w:tcMar>
              <w:top w:w="70" w:type="dxa"/>
              <w:left w:w="100" w:type="dxa"/>
              <w:bottom w:w="70" w:type="dxa"/>
              <w:right w:w="100" w:type="dxa"/>
            </w:tcMar>
            <w:vAlign w:val="center"/>
          </w:tcPr>
          <w:p w14:paraId="55B1DB02" w14:textId="77777777" w:rsidR="00DB7672" w:rsidRDefault="00000000">
            <w:pPr>
              <w:jc w:val="center"/>
            </w:pPr>
            <w:r>
              <w:rPr>
                <w:sz w:val="19"/>
                <w:szCs w:val="19"/>
              </w:rPr>
              <w:t>0.405</w:t>
            </w:r>
          </w:p>
        </w:tc>
      </w:tr>
      <w:tr w:rsidR="00DB7672" w14:paraId="740E6B00" w14:textId="77777777">
        <w:tblPrEx>
          <w:tblCellMar>
            <w:top w:w="0" w:type="dxa"/>
            <w:bottom w:w="0" w:type="dxa"/>
          </w:tblCellMar>
        </w:tblPrEx>
        <w:tc>
          <w:tcPr>
            <w:tcW w:w="45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DFE3790" w14:textId="77777777" w:rsidR="00DB7672" w:rsidRDefault="00000000">
            <w:r>
              <w:rPr>
                <w:sz w:val="19"/>
                <w:szCs w:val="19"/>
              </w:rPr>
              <w:t>Brier Score (lower is better)</w:t>
            </w:r>
          </w:p>
        </w:tc>
        <w:tc>
          <w:tcPr>
            <w:tcW w:w="2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7CA67B5B" w14:textId="77777777" w:rsidR="00DB7672" w:rsidRDefault="00000000">
            <w:pPr>
              <w:jc w:val="center"/>
            </w:pPr>
            <w:r>
              <w:rPr>
                <w:sz w:val="19"/>
                <w:szCs w:val="19"/>
              </w:rPr>
              <w:t>0.0505</w:t>
            </w:r>
          </w:p>
        </w:tc>
        <w:tc>
          <w:tcPr>
            <w:tcW w:w="2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9D74F6B" w14:textId="77777777" w:rsidR="00DB7672" w:rsidRDefault="00000000">
            <w:pPr>
              <w:jc w:val="center"/>
            </w:pPr>
            <w:r>
              <w:rPr>
                <w:sz w:val="19"/>
                <w:szCs w:val="19"/>
              </w:rPr>
              <w:t>0.0486</w:t>
            </w:r>
          </w:p>
        </w:tc>
      </w:tr>
    </w:tbl>
    <w:p w14:paraId="682BC281" w14:textId="77777777" w:rsidR="00DB7672" w:rsidRDefault="00000000">
      <w:pPr>
        <w:spacing w:before="60" w:after="260"/>
      </w:pPr>
      <w:r>
        <w:rPr>
          <w:i/>
          <w:iCs/>
          <w:color w:val="595959"/>
          <w:sz w:val="18"/>
          <w:szCs w:val="18"/>
        </w:rPr>
        <w:t>Table 5. Model performance on the 45,000-applicant held-out test set. ROC AUC and PR AUC measure how well each model ranks risky applicants above safe ones; PR AUC is the more informative of the two here because only 6.7% of applicants actually go delinquent.</w:t>
      </w:r>
    </w:p>
    <w:p w14:paraId="71D1B117" w14:textId="77777777" w:rsidR="00DB7672" w:rsidRDefault="00000000" w:rsidP="005923E3">
      <w:pPr>
        <w:pBdr>
          <w:top w:val="single" w:sz="4" w:space="1" w:color="auto"/>
          <w:left w:val="single" w:sz="4" w:space="8" w:color="auto"/>
          <w:bottom w:val="single" w:sz="4" w:space="1" w:color="auto"/>
          <w:right w:val="single" w:sz="4" w:space="4" w:color="auto"/>
        </w:pBdr>
        <w:shd w:val="clear" w:color="auto" w:fill="F2F2F0"/>
        <w:spacing w:before="100" w:after="240"/>
        <w:ind w:left="120"/>
      </w:pPr>
      <w:r>
        <w:rPr>
          <w:i/>
          <w:iCs/>
          <w:color w:val="404040"/>
          <w:sz w:val="20"/>
          <w:szCs w:val="20"/>
        </w:rPr>
        <w:t>Note: accuracy was deliberately not used to judge these models. A model that simply predicted “never delinquent” for every applicant would already be about 93% accurate, since delinquency is rare, so that number would look impressive and mean nothing. ROC AUC, PR AUC, and the calibration check above are what actually show whether a model can tell risky and safe applicants apart.</w:t>
      </w:r>
    </w:p>
    <w:p w14:paraId="1483C495" w14:textId="77777777" w:rsidR="00DB7672" w:rsidRDefault="00000000">
      <w:pPr>
        <w:pStyle w:val="Heading1"/>
        <w:pBdr>
          <w:bottom w:val="single" w:sz="6" w:space="4" w:color="000000"/>
        </w:pBdr>
        <w:spacing w:before="360" w:after="160"/>
      </w:pPr>
      <w:r>
        <w:rPr>
          <w:b/>
          <w:bCs/>
          <w:color w:val="000000"/>
          <w:sz w:val="30"/>
          <w:szCs w:val="30"/>
        </w:rPr>
        <w:t>From Prediction to Decision: A Cost-Based Threshold</w:t>
      </w:r>
    </w:p>
    <w:p w14:paraId="1E193A1C" w14:textId="77777777" w:rsidR="00DB7672" w:rsidRDefault="00000000">
      <w:pPr>
        <w:spacing w:after="180" w:line="288" w:lineRule="auto"/>
      </w:pPr>
      <w:r>
        <w:t>A predicted probability is not, by itself, a decision. Turning “this applicant has a 9% predicted risk” into “approve” or “decline” requires a cutoff, and the right cutoff depends on what each type of mistake actually costs the business.</w:t>
      </w:r>
    </w:p>
    <w:p w14:paraId="48D6FD91" w14:textId="77777777" w:rsidR="00DB7672" w:rsidRDefault="00000000">
      <w:pPr>
        <w:pStyle w:val="Heading2"/>
        <w:spacing w:before="260" w:after="120"/>
      </w:pPr>
      <w:r>
        <w:rPr>
          <w:b/>
          <w:bCs/>
          <w:color w:val="404040"/>
          <w:sz w:val="24"/>
          <w:szCs w:val="24"/>
        </w:rPr>
        <w:t>Cost Assumptions</w:t>
      </w:r>
    </w:p>
    <w:p w14:paraId="7ACA82C2" w14:textId="77777777" w:rsidR="00DB7672" w:rsidRDefault="00000000">
      <w:pPr>
        <w:spacing w:after="180" w:line="288" w:lineRule="auto"/>
      </w:pPr>
      <w:r>
        <w:t>This dataset does not include real loan amounts, interest rates, or recovery data, so a set of illustrative but realistic cost assumptions was used, and is stated plainly here rather than presented as measured fact:</w:t>
      </w:r>
    </w:p>
    <w:p w14:paraId="46073992" w14:textId="77777777" w:rsidR="00DB7672" w:rsidRDefault="00000000">
      <w:pPr>
        <w:pStyle w:val="ListParagraph"/>
        <w:numPr>
          <w:ilvl w:val="0"/>
          <w:numId w:val="2"/>
        </w:numPr>
        <w:spacing w:after="100" w:line="276" w:lineRule="auto"/>
      </w:pPr>
      <w:r>
        <w:t>Average credit exposure per applicant: $5,000</w:t>
      </w:r>
    </w:p>
    <w:p w14:paraId="1E3881DD" w14:textId="77777777" w:rsidR="00DB7672" w:rsidRDefault="00000000">
      <w:pPr>
        <w:pStyle w:val="ListParagraph"/>
        <w:numPr>
          <w:ilvl w:val="0"/>
          <w:numId w:val="2"/>
        </w:numPr>
        <w:spacing w:after="100" w:line="276" w:lineRule="auto"/>
      </w:pPr>
      <w:r>
        <w:t>Loss given default (the share of that exposure lost after collections, if an approved applicant defaults): 60%, making the cost of a missed default (a false negative) $3,000</w:t>
      </w:r>
    </w:p>
    <w:p w14:paraId="78DABD5E" w14:textId="77777777" w:rsidR="00DB7672" w:rsidRDefault="00000000">
      <w:pPr>
        <w:pStyle w:val="ListParagraph"/>
        <w:numPr>
          <w:ilvl w:val="0"/>
          <w:numId w:val="2"/>
        </w:numPr>
        <w:spacing w:after="100" w:line="276" w:lineRule="auto"/>
      </w:pPr>
      <w:r>
        <w:t xml:space="preserve">Net interest </w:t>
      </w:r>
      <w:proofErr w:type="gramStart"/>
      <w:r>
        <w:t>margin</w:t>
      </w:r>
      <w:proofErr w:type="gramEnd"/>
      <w:r>
        <w:t xml:space="preserve"> the bank would earn on a performing loan: 5% of exposure, making the cost of wrongly declining a good applicant (a false positive) $250</w:t>
      </w:r>
    </w:p>
    <w:p w14:paraId="7A9FC74A" w14:textId="77777777" w:rsidR="00DB7672" w:rsidRDefault="00000000">
      <w:pPr>
        <w:spacing w:after="180" w:line="288" w:lineRule="auto"/>
      </w:pPr>
      <w:r>
        <w:t xml:space="preserve">That works out to roughly a 12-to-1 cost ratio between missing a bad loan and turning away a good applicant, which matches how lenders generally think about the tradeoff: losing principal on a </w:t>
      </w:r>
      <w:proofErr w:type="gramStart"/>
      <w:r>
        <w:t>default hurts</w:t>
      </w:r>
      <w:proofErr w:type="gramEnd"/>
      <w:r>
        <w:t xml:space="preserve"> far more than giving up one applicant's margin.</w:t>
      </w:r>
    </w:p>
    <w:p w14:paraId="5EAD63BB" w14:textId="77777777" w:rsidR="00DB7672" w:rsidRDefault="00000000">
      <w:pPr>
        <w:spacing w:before="120"/>
        <w:jc w:val="center"/>
      </w:pPr>
      <w:r>
        <w:rPr>
          <w:noProof/>
        </w:rPr>
        <w:lastRenderedPageBreak/>
        <w:drawing>
          <wp:inline distT="0" distB="0" distL="0" distR="0" wp14:anchorId="2F9E3DC2" wp14:editId="64B40A39">
            <wp:extent cx="4953000" cy="36480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3648075"/>
                    </a:xfrm>
                    <a:prstGeom prst="rect">
                      <a:avLst/>
                    </a:prstGeom>
                  </pic:spPr>
                </pic:pic>
              </a:graphicData>
            </a:graphic>
          </wp:inline>
        </w:drawing>
      </w:r>
    </w:p>
    <w:p w14:paraId="3CD7F4E5" w14:textId="77777777" w:rsidR="00DB7672" w:rsidRDefault="00000000">
      <w:pPr>
        <w:spacing w:before="60" w:after="260"/>
      </w:pPr>
      <w:r>
        <w:rPr>
          <w:i/>
          <w:iCs/>
          <w:color w:val="595959"/>
          <w:sz w:val="18"/>
          <w:szCs w:val="18"/>
        </w:rPr>
        <w:t>Figure 3. Total cost per 10,000 applicants at every possible decline cutoff, for both models, under the cost assumptions above.</w:t>
      </w:r>
    </w:p>
    <w:p w14:paraId="43DAC79D" w14:textId="77777777" w:rsidR="00DB7672" w:rsidRDefault="00000000">
      <w:pPr>
        <w:pStyle w:val="Heading2"/>
        <w:spacing w:before="260" w:after="120"/>
      </w:pPr>
      <w:r>
        <w:rPr>
          <w:b/>
          <w:bCs/>
          <w:color w:val="404040"/>
          <w:sz w:val="24"/>
          <w:szCs w:val="24"/>
        </w:rPr>
        <w:t>The Optimal Cutoff for Each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60"/>
        <w:gridCol w:w="2400"/>
        <w:gridCol w:w="2400"/>
      </w:tblGrid>
      <w:tr w:rsidR="00DB7672" w14:paraId="241042B3" w14:textId="77777777">
        <w:tblPrEx>
          <w:tblCellMar>
            <w:top w:w="0" w:type="dxa"/>
            <w:bottom w:w="0" w:type="dxa"/>
          </w:tblCellMar>
        </w:tblPrEx>
        <w:trPr>
          <w:tblHeader/>
        </w:trPr>
        <w:tc>
          <w:tcPr>
            <w:tcW w:w="4560" w:type="dxa"/>
            <w:tcBorders>
              <w:top w:val="single" w:sz="4" w:space="0" w:color="BFBFBF"/>
              <w:left w:val="single" w:sz="4" w:space="0" w:color="BFBFBF"/>
              <w:bottom w:val="single" w:sz="4" w:space="0" w:color="BFBFBF"/>
              <w:right w:val="single" w:sz="4" w:space="0" w:color="BFBFBF"/>
            </w:tcBorders>
            <w:shd w:val="clear" w:color="auto" w:fill="000000"/>
            <w:tcMar>
              <w:top w:w="80" w:type="dxa"/>
              <w:left w:w="100" w:type="dxa"/>
              <w:bottom w:w="80" w:type="dxa"/>
              <w:right w:w="100" w:type="dxa"/>
            </w:tcMar>
            <w:vAlign w:val="center"/>
          </w:tcPr>
          <w:p w14:paraId="3B28A462" w14:textId="77777777" w:rsidR="00DB7672" w:rsidRDefault="00DB7672"/>
        </w:tc>
        <w:tc>
          <w:tcPr>
            <w:tcW w:w="2400" w:type="dxa"/>
            <w:tcBorders>
              <w:top w:val="single" w:sz="4" w:space="0" w:color="BFBFBF"/>
              <w:left w:val="single" w:sz="4" w:space="0" w:color="BFBFBF"/>
              <w:bottom w:val="single" w:sz="4" w:space="0" w:color="BFBFBF"/>
              <w:right w:val="single" w:sz="4" w:space="0" w:color="BFBFBF"/>
            </w:tcBorders>
            <w:shd w:val="clear" w:color="auto" w:fill="000000"/>
            <w:tcMar>
              <w:top w:w="80" w:type="dxa"/>
              <w:left w:w="100" w:type="dxa"/>
              <w:bottom w:w="80" w:type="dxa"/>
              <w:right w:w="100" w:type="dxa"/>
            </w:tcMar>
            <w:vAlign w:val="center"/>
          </w:tcPr>
          <w:p w14:paraId="21370EFB" w14:textId="77777777" w:rsidR="00DB7672" w:rsidRDefault="00000000">
            <w:r>
              <w:rPr>
                <w:b/>
                <w:bCs/>
                <w:color w:val="FFFFFF"/>
                <w:sz w:val="19"/>
                <w:szCs w:val="19"/>
              </w:rPr>
              <w:t>Logistic Regression</w:t>
            </w:r>
          </w:p>
        </w:tc>
        <w:tc>
          <w:tcPr>
            <w:tcW w:w="2400" w:type="dxa"/>
            <w:tcBorders>
              <w:top w:val="single" w:sz="4" w:space="0" w:color="BFBFBF"/>
              <w:left w:val="single" w:sz="4" w:space="0" w:color="BFBFBF"/>
              <w:bottom w:val="single" w:sz="4" w:space="0" w:color="BFBFBF"/>
              <w:right w:val="single" w:sz="4" w:space="0" w:color="BFBFBF"/>
            </w:tcBorders>
            <w:shd w:val="clear" w:color="auto" w:fill="000000"/>
            <w:tcMar>
              <w:top w:w="80" w:type="dxa"/>
              <w:left w:w="100" w:type="dxa"/>
              <w:bottom w:w="80" w:type="dxa"/>
              <w:right w:w="100" w:type="dxa"/>
            </w:tcMar>
            <w:vAlign w:val="center"/>
          </w:tcPr>
          <w:p w14:paraId="584682AE" w14:textId="77777777" w:rsidR="00DB7672" w:rsidRDefault="00000000">
            <w:r>
              <w:rPr>
                <w:b/>
                <w:bCs/>
                <w:color w:val="FFFFFF"/>
                <w:sz w:val="19"/>
                <w:szCs w:val="19"/>
              </w:rPr>
              <w:t>Gradient Boosting</w:t>
            </w:r>
          </w:p>
        </w:tc>
      </w:tr>
      <w:tr w:rsidR="00DB7672" w14:paraId="3F30DA79" w14:textId="77777777">
        <w:tblPrEx>
          <w:tblCellMar>
            <w:top w:w="0" w:type="dxa"/>
            <w:bottom w:w="0" w:type="dxa"/>
          </w:tblCellMar>
        </w:tblPrEx>
        <w:tc>
          <w:tcPr>
            <w:tcW w:w="45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EDB9FAD" w14:textId="77777777" w:rsidR="00DB7672" w:rsidRDefault="00000000">
            <w:r>
              <w:rPr>
                <w:sz w:val="19"/>
                <w:szCs w:val="19"/>
              </w:rPr>
              <w:t>Decline cutoff</w:t>
            </w:r>
          </w:p>
        </w:tc>
        <w:tc>
          <w:tcPr>
            <w:tcW w:w="2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6A8970BC" w14:textId="77777777" w:rsidR="00DB7672" w:rsidRDefault="00000000">
            <w:pPr>
              <w:jc w:val="center"/>
            </w:pPr>
            <w:r>
              <w:rPr>
                <w:sz w:val="19"/>
                <w:szCs w:val="19"/>
              </w:rPr>
              <w:t>7.1% predicted risk</w:t>
            </w:r>
          </w:p>
        </w:tc>
        <w:tc>
          <w:tcPr>
            <w:tcW w:w="2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5B6C1AD" w14:textId="77777777" w:rsidR="00DB7672" w:rsidRDefault="00000000">
            <w:pPr>
              <w:jc w:val="center"/>
            </w:pPr>
            <w:r>
              <w:rPr>
                <w:sz w:val="19"/>
                <w:szCs w:val="19"/>
              </w:rPr>
              <w:t>8.2% predicted risk</w:t>
            </w:r>
          </w:p>
        </w:tc>
      </w:tr>
      <w:tr w:rsidR="00DB7672" w14:paraId="01928701" w14:textId="77777777">
        <w:tblPrEx>
          <w:tblCellMar>
            <w:top w:w="0" w:type="dxa"/>
            <w:bottom w:w="0" w:type="dxa"/>
          </w:tblCellMar>
        </w:tblPrEx>
        <w:tc>
          <w:tcPr>
            <w:tcW w:w="4560" w:type="dxa"/>
            <w:tcBorders>
              <w:top w:val="single" w:sz="4" w:space="0" w:color="BFBFBF"/>
              <w:left w:val="single" w:sz="4" w:space="0" w:color="BFBFBF"/>
              <w:bottom w:val="single" w:sz="4" w:space="0" w:color="BFBFBF"/>
              <w:right w:val="single" w:sz="4" w:space="0" w:color="BFBFBF"/>
            </w:tcBorders>
            <w:shd w:val="clear" w:color="auto" w:fill="F2F2F0"/>
            <w:tcMar>
              <w:top w:w="70" w:type="dxa"/>
              <w:left w:w="100" w:type="dxa"/>
              <w:bottom w:w="70" w:type="dxa"/>
              <w:right w:w="100" w:type="dxa"/>
            </w:tcMar>
            <w:vAlign w:val="center"/>
          </w:tcPr>
          <w:p w14:paraId="503A1884" w14:textId="77777777" w:rsidR="00DB7672" w:rsidRDefault="00000000">
            <w:r>
              <w:rPr>
                <w:sz w:val="19"/>
                <w:szCs w:val="19"/>
              </w:rPr>
              <w:t>Approval rate</w:t>
            </w:r>
          </w:p>
        </w:tc>
        <w:tc>
          <w:tcPr>
            <w:tcW w:w="2400" w:type="dxa"/>
            <w:tcBorders>
              <w:top w:val="single" w:sz="4" w:space="0" w:color="BFBFBF"/>
              <w:left w:val="single" w:sz="4" w:space="0" w:color="BFBFBF"/>
              <w:bottom w:val="single" w:sz="4" w:space="0" w:color="BFBFBF"/>
              <w:right w:val="single" w:sz="4" w:space="0" w:color="BFBFBF"/>
            </w:tcBorders>
            <w:shd w:val="clear" w:color="auto" w:fill="F2F2F0"/>
            <w:tcMar>
              <w:top w:w="70" w:type="dxa"/>
              <w:left w:w="100" w:type="dxa"/>
              <w:bottom w:w="70" w:type="dxa"/>
              <w:right w:w="100" w:type="dxa"/>
            </w:tcMar>
            <w:vAlign w:val="center"/>
          </w:tcPr>
          <w:p w14:paraId="5FCB6182" w14:textId="77777777" w:rsidR="00DB7672" w:rsidRDefault="00000000">
            <w:pPr>
              <w:jc w:val="center"/>
            </w:pPr>
            <w:r>
              <w:rPr>
                <w:sz w:val="19"/>
                <w:szCs w:val="19"/>
              </w:rPr>
              <w:t>76.7%</w:t>
            </w:r>
          </w:p>
        </w:tc>
        <w:tc>
          <w:tcPr>
            <w:tcW w:w="2400" w:type="dxa"/>
            <w:tcBorders>
              <w:top w:val="single" w:sz="4" w:space="0" w:color="BFBFBF"/>
              <w:left w:val="single" w:sz="4" w:space="0" w:color="BFBFBF"/>
              <w:bottom w:val="single" w:sz="4" w:space="0" w:color="BFBFBF"/>
              <w:right w:val="single" w:sz="4" w:space="0" w:color="BFBFBF"/>
            </w:tcBorders>
            <w:shd w:val="clear" w:color="auto" w:fill="F2F2F0"/>
            <w:tcMar>
              <w:top w:w="70" w:type="dxa"/>
              <w:left w:w="100" w:type="dxa"/>
              <w:bottom w:w="70" w:type="dxa"/>
              <w:right w:w="100" w:type="dxa"/>
            </w:tcMar>
            <w:vAlign w:val="center"/>
          </w:tcPr>
          <w:p w14:paraId="1868A51A" w14:textId="77777777" w:rsidR="00DB7672" w:rsidRDefault="00000000">
            <w:pPr>
              <w:jc w:val="center"/>
            </w:pPr>
            <w:r>
              <w:rPr>
                <w:sz w:val="19"/>
                <w:szCs w:val="19"/>
              </w:rPr>
              <w:t>79.1%</w:t>
            </w:r>
          </w:p>
        </w:tc>
      </w:tr>
      <w:tr w:rsidR="00DB7672" w14:paraId="312EB924" w14:textId="77777777">
        <w:tblPrEx>
          <w:tblCellMar>
            <w:top w:w="0" w:type="dxa"/>
            <w:bottom w:w="0" w:type="dxa"/>
          </w:tblCellMar>
        </w:tblPrEx>
        <w:tc>
          <w:tcPr>
            <w:tcW w:w="45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6D51D973" w14:textId="77777777" w:rsidR="00DB7672" w:rsidRDefault="00000000">
            <w:r>
              <w:rPr>
                <w:sz w:val="19"/>
                <w:szCs w:val="19"/>
              </w:rPr>
              <w:t>Cost per 10,000 applicants</w:t>
            </w:r>
          </w:p>
        </w:tc>
        <w:tc>
          <w:tcPr>
            <w:tcW w:w="2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780FF16F" w14:textId="77777777" w:rsidR="00DB7672" w:rsidRDefault="00000000">
            <w:pPr>
              <w:jc w:val="center"/>
            </w:pPr>
            <w:r>
              <w:rPr>
                <w:sz w:val="19"/>
                <w:szCs w:val="19"/>
              </w:rPr>
              <w:t>$974,611</w:t>
            </w:r>
          </w:p>
        </w:tc>
        <w:tc>
          <w:tcPr>
            <w:tcW w:w="2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6AE20D8" w14:textId="77777777" w:rsidR="00DB7672" w:rsidRDefault="00000000">
            <w:pPr>
              <w:jc w:val="center"/>
            </w:pPr>
            <w:r>
              <w:rPr>
                <w:sz w:val="19"/>
                <w:szCs w:val="19"/>
              </w:rPr>
              <w:t>$902,056</w:t>
            </w:r>
          </w:p>
        </w:tc>
      </w:tr>
    </w:tbl>
    <w:p w14:paraId="6881562B" w14:textId="77777777" w:rsidR="00DB7672" w:rsidRDefault="00000000">
      <w:pPr>
        <w:spacing w:before="60" w:after="260"/>
      </w:pPr>
      <w:r>
        <w:rPr>
          <w:i/>
          <w:iCs/>
          <w:color w:val="595959"/>
          <w:sz w:val="18"/>
          <w:szCs w:val="18"/>
        </w:rPr>
        <w:t>Table 6. Cost-minimizing decline cutoff for each model, and the resulting cost and approval rate, under the stated cost assumptions.</w:t>
      </w:r>
    </w:p>
    <w:p w14:paraId="44D3A363" w14:textId="77777777" w:rsidR="00DB7672" w:rsidRDefault="00000000">
      <w:pPr>
        <w:spacing w:after="180" w:line="288" w:lineRule="auto"/>
      </w:pPr>
      <w:r>
        <w:t xml:space="preserve">Switching from the logistic regression model to the gradient boosting model, and using each model's own optimal cutoff, reduces estimated cost by </w:t>
      </w:r>
      <w:r>
        <w:rPr>
          <w:b/>
          <w:bCs/>
        </w:rPr>
        <w:t>$72,556 per 10,000 applicants</w:t>
      </w:r>
      <w:r>
        <w:t xml:space="preserve"> under the stated cost assumptions (about a 7.4% cost reduction) while also approving 2.4 percentage points more applicants. This is the case study's central finding: a more accurate model does not force a tradeoff between being safer and being more generous. Better discrimination between risky and safe applicants lets the bank do both at once.</w:t>
      </w:r>
    </w:p>
    <w:p w14:paraId="062FD8CC" w14:textId="77777777" w:rsidR="00DB7672" w:rsidRDefault="00000000">
      <w:pPr>
        <w:spacing w:after="180" w:line="288" w:lineRule="auto"/>
      </w:pPr>
      <w:r>
        <w:t>For context, using a naive, untuned 50% cutoff (a common default) would have cost roughly $1.67 to $1.68 million per 10,000 applicants under either model, nearly double the cost of the properly tuned cutoff. Choosing the right threshold turned out to matter more than which model was used to reach it, though the better model still won on top of that.</w:t>
      </w:r>
    </w:p>
    <w:p w14:paraId="749CB6B0" w14:textId="77777777" w:rsidR="00DB7672" w:rsidRDefault="00000000" w:rsidP="005923E3">
      <w:pPr>
        <w:pBdr>
          <w:top w:val="single" w:sz="4" w:space="1" w:color="auto"/>
          <w:left w:val="single" w:sz="4" w:space="8" w:color="auto"/>
          <w:bottom w:val="single" w:sz="4" w:space="1" w:color="auto"/>
          <w:right w:val="single" w:sz="4" w:space="4" w:color="auto"/>
        </w:pBdr>
        <w:shd w:val="clear" w:color="auto" w:fill="F2F2F0"/>
        <w:spacing w:before="100" w:after="240"/>
        <w:ind w:left="120"/>
      </w:pPr>
      <w:r>
        <w:rPr>
          <w:i/>
          <w:iCs/>
          <w:color w:val="404040"/>
          <w:sz w:val="20"/>
          <w:szCs w:val="20"/>
        </w:rPr>
        <w:lastRenderedPageBreak/>
        <w:t xml:space="preserve">Note: every dollar figure in this section depends on the illustrative cost assumptions above. Change the assumed loss-given-default or interest margin, and the optimal cutoff and savings figure both </w:t>
      </w:r>
      <w:proofErr w:type="gramStart"/>
      <w:r>
        <w:rPr>
          <w:i/>
          <w:iCs/>
          <w:color w:val="404040"/>
          <w:sz w:val="20"/>
          <w:szCs w:val="20"/>
        </w:rPr>
        <w:t>change</w:t>
      </w:r>
      <w:proofErr w:type="gramEnd"/>
      <w:r>
        <w:rPr>
          <w:i/>
          <w:iCs/>
          <w:color w:val="404040"/>
          <w:sz w:val="20"/>
          <w:szCs w:val="20"/>
        </w:rPr>
        <w:t>. Gradient boosting remains the stronger predictive model regardless of those assumptions (it ranks risky and safe applicants better on every metric in the previous section), while the exact financial advantage and optimal cutoff for either model do depend on the assumed cost ratio.</w:t>
      </w:r>
    </w:p>
    <w:p w14:paraId="3B198110" w14:textId="77777777" w:rsidR="00DB7672" w:rsidRDefault="00000000">
      <w:pPr>
        <w:pStyle w:val="Heading1"/>
        <w:pBdr>
          <w:bottom w:val="single" w:sz="6" w:space="4" w:color="000000"/>
        </w:pBdr>
        <w:spacing w:before="360" w:after="160"/>
      </w:pPr>
      <w:r>
        <w:rPr>
          <w:b/>
          <w:bCs/>
          <w:color w:val="000000"/>
          <w:sz w:val="30"/>
          <w:szCs w:val="30"/>
        </w:rPr>
        <w:t xml:space="preserve">Turning Risk </w:t>
      </w:r>
      <w:proofErr w:type="gramStart"/>
      <w:r>
        <w:rPr>
          <w:b/>
          <w:bCs/>
          <w:color w:val="000000"/>
          <w:sz w:val="30"/>
          <w:szCs w:val="30"/>
        </w:rPr>
        <w:t>Into</w:t>
      </w:r>
      <w:proofErr w:type="gramEnd"/>
      <w:r>
        <w:rPr>
          <w:b/>
          <w:bCs/>
          <w:color w:val="000000"/>
          <w:sz w:val="30"/>
          <w:szCs w:val="30"/>
        </w:rPr>
        <w:t xml:space="preserve"> Price: A Tiered Pricing Framework</w:t>
      </w:r>
    </w:p>
    <w:p w14:paraId="5C7917DB" w14:textId="77777777" w:rsidR="00DB7672" w:rsidRDefault="00000000">
      <w:pPr>
        <w:spacing w:after="180" w:line="288" w:lineRule="auto"/>
      </w:pPr>
      <w:r>
        <w:t>Declining an applicant is not the only lever a lender has. Applicants who are approved can still be charged a rate that reflects their risk, rather than everyone paying the same rate. Rather than inventing a false level of precision (there is no reasonable way to justify a claim like “this specific applicant should be charged exactly 11.7%” from this dataset), applicants were grouped into three risk tiers, each with one illustrative rate.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400"/>
        <w:gridCol w:w="2160"/>
        <w:gridCol w:w="1600"/>
      </w:tblGrid>
      <w:tr w:rsidR="00DB7672" w14:paraId="31776599" w14:textId="77777777">
        <w:tblPrEx>
          <w:tblCellMar>
            <w:top w:w="0" w:type="dxa"/>
            <w:bottom w:w="0" w:type="dxa"/>
          </w:tblCellMar>
        </w:tblPrEx>
        <w:trPr>
          <w:tblHeader/>
        </w:trPr>
        <w:tc>
          <w:tcPr>
            <w:tcW w:w="3200" w:type="dxa"/>
            <w:tcBorders>
              <w:top w:val="single" w:sz="4" w:space="0" w:color="BFBFBF"/>
              <w:left w:val="single" w:sz="4" w:space="0" w:color="BFBFBF"/>
              <w:bottom w:val="single" w:sz="4" w:space="0" w:color="BFBFBF"/>
              <w:right w:val="single" w:sz="4" w:space="0" w:color="BFBFBF"/>
            </w:tcBorders>
            <w:shd w:val="clear" w:color="auto" w:fill="000000"/>
            <w:tcMar>
              <w:top w:w="80" w:type="dxa"/>
              <w:left w:w="100" w:type="dxa"/>
              <w:bottom w:w="80" w:type="dxa"/>
              <w:right w:w="100" w:type="dxa"/>
            </w:tcMar>
            <w:vAlign w:val="center"/>
          </w:tcPr>
          <w:p w14:paraId="2C950C9E" w14:textId="77777777" w:rsidR="00DB7672" w:rsidRDefault="00000000">
            <w:r>
              <w:rPr>
                <w:b/>
                <w:bCs/>
                <w:color w:val="FFFFFF"/>
                <w:sz w:val="19"/>
                <w:szCs w:val="19"/>
              </w:rPr>
              <w:t>Risk Tier</w:t>
            </w:r>
          </w:p>
        </w:tc>
        <w:tc>
          <w:tcPr>
            <w:tcW w:w="2400" w:type="dxa"/>
            <w:tcBorders>
              <w:top w:val="single" w:sz="4" w:space="0" w:color="BFBFBF"/>
              <w:left w:val="single" w:sz="4" w:space="0" w:color="BFBFBF"/>
              <w:bottom w:val="single" w:sz="4" w:space="0" w:color="BFBFBF"/>
              <w:right w:val="single" w:sz="4" w:space="0" w:color="BFBFBF"/>
            </w:tcBorders>
            <w:shd w:val="clear" w:color="auto" w:fill="000000"/>
            <w:tcMar>
              <w:top w:w="80" w:type="dxa"/>
              <w:left w:w="100" w:type="dxa"/>
              <w:bottom w:w="80" w:type="dxa"/>
              <w:right w:w="100" w:type="dxa"/>
            </w:tcMar>
            <w:vAlign w:val="center"/>
          </w:tcPr>
          <w:p w14:paraId="6D11DDFD" w14:textId="77777777" w:rsidR="00DB7672" w:rsidRDefault="00000000">
            <w:r>
              <w:rPr>
                <w:b/>
                <w:bCs/>
                <w:color w:val="FFFFFF"/>
                <w:sz w:val="19"/>
                <w:szCs w:val="19"/>
              </w:rPr>
              <w:t>Predicted Risk Range</w:t>
            </w:r>
          </w:p>
        </w:tc>
        <w:tc>
          <w:tcPr>
            <w:tcW w:w="2160" w:type="dxa"/>
            <w:tcBorders>
              <w:top w:val="single" w:sz="4" w:space="0" w:color="BFBFBF"/>
              <w:left w:val="single" w:sz="4" w:space="0" w:color="BFBFBF"/>
              <w:bottom w:val="single" w:sz="4" w:space="0" w:color="BFBFBF"/>
              <w:right w:val="single" w:sz="4" w:space="0" w:color="BFBFBF"/>
            </w:tcBorders>
            <w:shd w:val="clear" w:color="auto" w:fill="000000"/>
            <w:tcMar>
              <w:top w:w="80" w:type="dxa"/>
              <w:left w:w="100" w:type="dxa"/>
              <w:bottom w:w="80" w:type="dxa"/>
              <w:right w:w="100" w:type="dxa"/>
            </w:tcMar>
            <w:vAlign w:val="center"/>
          </w:tcPr>
          <w:p w14:paraId="617E35E2" w14:textId="77777777" w:rsidR="00DB7672" w:rsidRDefault="00000000">
            <w:r>
              <w:rPr>
                <w:b/>
                <w:bCs/>
                <w:color w:val="FFFFFF"/>
                <w:sz w:val="19"/>
                <w:szCs w:val="19"/>
              </w:rPr>
              <w:t>Actual Delinquency Rate</w:t>
            </w:r>
          </w:p>
        </w:tc>
        <w:tc>
          <w:tcPr>
            <w:tcW w:w="1600" w:type="dxa"/>
            <w:tcBorders>
              <w:top w:val="single" w:sz="4" w:space="0" w:color="BFBFBF"/>
              <w:left w:val="single" w:sz="4" w:space="0" w:color="BFBFBF"/>
              <w:bottom w:val="single" w:sz="4" w:space="0" w:color="BFBFBF"/>
              <w:right w:val="single" w:sz="4" w:space="0" w:color="BFBFBF"/>
            </w:tcBorders>
            <w:shd w:val="clear" w:color="auto" w:fill="000000"/>
            <w:tcMar>
              <w:top w:w="80" w:type="dxa"/>
              <w:left w:w="100" w:type="dxa"/>
              <w:bottom w:w="80" w:type="dxa"/>
              <w:right w:w="100" w:type="dxa"/>
            </w:tcMar>
            <w:vAlign w:val="center"/>
          </w:tcPr>
          <w:p w14:paraId="41E60C6C" w14:textId="77777777" w:rsidR="00DB7672" w:rsidRDefault="00000000">
            <w:r>
              <w:rPr>
                <w:b/>
                <w:bCs/>
                <w:color w:val="FFFFFF"/>
                <w:sz w:val="19"/>
                <w:szCs w:val="19"/>
              </w:rPr>
              <w:t>Illustrative Rate</w:t>
            </w:r>
          </w:p>
        </w:tc>
      </w:tr>
      <w:tr w:rsidR="00DB7672" w14:paraId="57D44FF0"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4C817AAB" w14:textId="77777777" w:rsidR="00DB7672" w:rsidRDefault="00000000">
            <w:r>
              <w:rPr>
                <w:sz w:val="19"/>
                <w:szCs w:val="19"/>
              </w:rPr>
              <w:t>Low risk</w:t>
            </w:r>
          </w:p>
        </w:tc>
        <w:tc>
          <w:tcPr>
            <w:tcW w:w="2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E4BD507" w14:textId="77777777" w:rsidR="00DB7672" w:rsidRDefault="00000000">
            <w:pPr>
              <w:jc w:val="center"/>
            </w:pPr>
            <w:r>
              <w:rPr>
                <w:sz w:val="19"/>
                <w:szCs w:val="19"/>
              </w:rPr>
              <w:t>Under 3%</w:t>
            </w:r>
          </w:p>
        </w:tc>
        <w:tc>
          <w:tcPr>
            <w:tcW w:w="21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E383E64" w14:textId="77777777" w:rsidR="00DB7672" w:rsidRDefault="00000000">
            <w:pPr>
              <w:jc w:val="center"/>
            </w:pPr>
            <w:r>
              <w:rPr>
                <w:sz w:val="19"/>
                <w:szCs w:val="19"/>
              </w:rPr>
              <w:t>1.1%</w:t>
            </w:r>
          </w:p>
        </w:tc>
        <w:tc>
          <w:tcPr>
            <w:tcW w:w="1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EBE5BCB" w14:textId="77777777" w:rsidR="00DB7672" w:rsidRDefault="00000000">
            <w:pPr>
              <w:jc w:val="center"/>
            </w:pPr>
            <w:r>
              <w:rPr>
                <w:sz w:val="19"/>
                <w:szCs w:val="19"/>
              </w:rPr>
              <w:t>12.9%</w:t>
            </w:r>
          </w:p>
        </w:tc>
      </w:tr>
      <w:tr w:rsidR="00DB7672" w14:paraId="263C37AD"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shd w:val="clear" w:color="auto" w:fill="F2F2F0"/>
            <w:tcMar>
              <w:top w:w="70" w:type="dxa"/>
              <w:left w:w="100" w:type="dxa"/>
              <w:bottom w:w="70" w:type="dxa"/>
              <w:right w:w="100" w:type="dxa"/>
            </w:tcMar>
            <w:vAlign w:val="center"/>
          </w:tcPr>
          <w:p w14:paraId="070B9830" w14:textId="77777777" w:rsidR="00DB7672" w:rsidRDefault="00000000">
            <w:r>
              <w:rPr>
                <w:sz w:val="19"/>
                <w:szCs w:val="19"/>
              </w:rPr>
              <w:t>Moderate risk</w:t>
            </w:r>
          </w:p>
        </w:tc>
        <w:tc>
          <w:tcPr>
            <w:tcW w:w="2400" w:type="dxa"/>
            <w:tcBorders>
              <w:top w:val="single" w:sz="4" w:space="0" w:color="BFBFBF"/>
              <w:left w:val="single" w:sz="4" w:space="0" w:color="BFBFBF"/>
              <w:bottom w:val="single" w:sz="4" w:space="0" w:color="BFBFBF"/>
              <w:right w:val="single" w:sz="4" w:space="0" w:color="BFBFBF"/>
            </w:tcBorders>
            <w:shd w:val="clear" w:color="auto" w:fill="F2F2F0"/>
            <w:tcMar>
              <w:top w:w="70" w:type="dxa"/>
              <w:left w:w="100" w:type="dxa"/>
              <w:bottom w:w="70" w:type="dxa"/>
              <w:right w:w="100" w:type="dxa"/>
            </w:tcMar>
            <w:vAlign w:val="center"/>
          </w:tcPr>
          <w:p w14:paraId="62DA0F6D" w14:textId="77777777" w:rsidR="00DB7672" w:rsidRDefault="00000000">
            <w:pPr>
              <w:jc w:val="center"/>
            </w:pPr>
            <w:r>
              <w:rPr>
                <w:sz w:val="19"/>
                <w:szCs w:val="19"/>
              </w:rPr>
              <w:t>3% to 8.2%</w:t>
            </w:r>
          </w:p>
        </w:tc>
        <w:tc>
          <w:tcPr>
            <w:tcW w:w="2160" w:type="dxa"/>
            <w:tcBorders>
              <w:top w:val="single" w:sz="4" w:space="0" w:color="BFBFBF"/>
              <w:left w:val="single" w:sz="4" w:space="0" w:color="BFBFBF"/>
              <w:bottom w:val="single" w:sz="4" w:space="0" w:color="BFBFBF"/>
              <w:right w:val="single" w:sz="4" w:space="0" w:color="BFBFBF"/>
            </w:tcBorders>
            <w:shd w:val="clear" w:color="auto" w:fill="F2F2F0"/>
            <w:tcMar>
              <w:top w:w="70" w:type="dxa"/>
              <w:left w:w="100" w:type="dxa"/>
              <w:bottom w:w="70" w:type="dxa"/>
              <w:right w:w="100" w:type="dxa"/>
            </w:tcMar>
            <w:vAlign w:val="center"/>
          </w:tcPr>
          <w:p w14:paraId="628EA5F5" w14:textId="77777777" w:rsidR="00DB7672" w:rsidRDefault="00000000">
            <w:pPr>
              <w:jc w:val="center"/>
            </w:pPr>
            <w:r>
              <w:rPr>
                <w:sz w:val="19"/>
                <w:szCs w:val="19"/>
              </w:rPr>
              <w:t>4.9%</w:t>
            </w:r>
          </w:p>
        </w:tc>
        <w:tc>
          <w:tcPr>
            <w:tcW w:w="1600" w:type="dxa"/>
            <w:tcBorders>
              <w:top w:val="single" w:sz="4" w:space="0" w:color="BFBFBF"/>
              <w:left w:val="single" w:sz="4" w:space="0" w:color="BFBFBF"/>
              <w:bottom w:val="single" w:sz="4" w:space="0" w:color="BFBFBF"/>
              <w:right w:val="single" w:sz="4" w:space="0" w:color="BFBFBF"/>
            </w:tcBorders>
            <w:shd w:val="clear" w:color="auto" w:fill="F2F2F0"/>
            <w:tcMar>
              <w:top w:w="70" w:type="dxa"/>
              <w:left w:w="100" w:type="dxa"/>
              <w:bottom w:w="70" w:type="dxa"/>
              <w:right w:w="100" w:type="dxa"/>
            </w:tcMar>
            <w:vAlign w:val="center"/>
          </w:tcPr>
          <w:p w14:paraId="15818E49" w14:textId="77777777" w:rsidR="00DB7672" w:rsidRDefault="00000000">
            <w:pPr>
              <w:jc w:val="center"/>
            </w:pPr>
            <w:r>
              <w:rPr>
                <w:sz w:val="19"/>
                <w:szCs w:val="19"/>
              </w:rPr>
              <w:t>19.9%</w:t>
            </w:r>
          </w:p>
        </w:tc>
      </w:tr>
      <w:tr w:rsidR="00DB7672" w14:paraId="4031A3E9"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6F30A151" w14:textId="77777777" w:rsidR="00DB7672" w:rsidRDefault="00000000">
            <w:r>
              <w:rPr>
                <w:sz w:val="19"/>
                <w:szCs w:val="19"/>
              </w:rPr>
              <w:t>Decline</w:t>
            </w:r>
          </w:p>
        </w:tc>
        <w:tc>
          <w:tcPr>
            <w:tcW w:w="2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7A9867B" w14:textId="77777777" w:rsidR="00DB7672" w:rsidRDefault="00000000">
            <w:pPr>
              <w:jc w:val="center"/>
            </w:pPr>
            <w:r>
              <w:rPr>
                <w:sz w:val="19"/>
                <w:szCs w:val="19"/>
              </w:rPr>
              <w:t>8.2% and above</w:t>
            </w:r>
          </w:p>
        </w:tc>
        <w:tc>
          <w:tcPr>
            <w:tcW w:w="21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7D98DF71" w14:textId="77777777" w:rsidR="00DB7672" w:rsidRDefault="00000000">
            <w:pPr>
              <w:jc w:val="center"/>
            </w:pPr>
            <w:r>
              <w:rPr>
                <w:sz w:val="19"/>
                <w:szCs w:val="19"/>
              </w:rPr>
              <w:t>24.0%</w:t>
            </w:r>
          </w:p>
        </w:tc>
        <w:tc>
          <w:tcPr>
            <w:tcW w:w="1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6CC0EC2E" w14:textId="77777777" w:rsidR="00DB7672" w:rsidRDefault="00000000">
            <w:pPr>
              <w:jc w:val="center"/>
            </w:pPr>
            <w:r>
              <w:rPr>
                <w:sz w:val="19"/>
                <w:szCs w:val="19"/>
              </w:rPr>
              <w:t>Not approved</w:t>
            </w:r>
          </w:p>
        </w:tc>
      </w:tr>
    </w:tbl>
    <w:p w14:paraId="4B69FD95" w14:textId="77777777" w:rsidR="00DB7672" w:rsidRDefault="00000000">
      <w:pPr>
        <w:spacing w:before="60" w:after="260"/>
      </w:pPr>
      <w:r>
        <w:rPr>
          <w:i/>
          <w:iCs/>
          <w:color w:val="595959"/>
          <w:sz w:val="18"/>
          <w:szCs w:val="18"/>
        </w:rPr>
        <w:t>Table 7. The three-tier pricing framework. The 8.2% decline cutoff is the cost-minimizing threshold found above; the 3% split between low and moderate risk is a reasonable illustrative choice, since the dataset does not contain the loan-level rate and margin data needed to optimize that second cutoff the same way.</w:t>
      </w:r>
    </w:p>
    <w:p w14:paraId="3C321219" w14:textId="77777777" w:rsidR="00DB7672" w:rsidRDefault="00000000">
      <w:pPr>
        <w:spacing w:before="120"/>
        <w:jc w:val="center"/>
      </w:pPr>
      <w:r>
        <w:rPr>
          <w:noProof/>
        </w:rPr>
        <w:drawing>
          <wp:inline distT="0" distB="0" distL="0" distR="0" wp14:anchorId="69F9293C" wp14:editId="16AFDEA8">
            <wp:extent cx="4381500" cy="35433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381500" cy="3543300"/>
                    </a:xfrm>
                    <a:prstGeom prst="rect">
                      <a:avLst/>
                    </a:prstGeom>
                  </pic:spPr>
                </pic:pic>
              </a:graphicData>
            </a:graphic>
          </wp:inline>
        </w:drawing>
      </w:r>
    </w:p>
    <w:p w14:paraId="67ED222B" w14:textId="77777777" w:rsidR="00DB7672" w:rsidRDefault="00000000">
      <w:pPr>
        <w:spacing w:before="60" w:after="260"/>
      </w:pPr>
      <w:r>
        <w:rPr>
          <w:i/>
          <w:iCs/>
          <w:color w:val="595959"/>
          <w:sz w:val="18"/>
          <w:szCs w:val="18"/>
        </w:rPr>
        <w:t>Figure 4. Actual test-set delinquency rate within each of the three tiers, confirming the tiers used for pricing genuinely separate risk.</w:t>
      </w:r>
    </w:p>
    <w:p w14:paraId="0F44CAB4" w14:textId="77777777" w:rsidR="00DB7672" w:rsidRDefault="00000000">
      <w:pPr>
        <w:spacing w:after="180" w:line="288" w:lineRule="auto"/>
      </w:pPr>
      <w:r>
        <w:lastRenderedPageBreak/>
        <w:t>The actual delinquency rate rises cleanly across the three tiers, from 1.1% in the low-risk tier up to 24.0% in the decline tier, which confirms the tiers are not arbitrary: they track real outcomes. This framework was implemented as a two-sheet Excel workbook. The first sheet holds the cost assumptions and the tier table shown above; the second sheet lists sample applicants with a VLOOKUP formula that looks up each applicant's risk tier and returns the matching rate from the first sheet, so the pricing logic updates automatically if the assumptions or rates ever change.</w:t>
      </w:r>
    </w:p>
    <w:p w14:paraId="5D211143" w14:textId="77777777" w:rsidR="00DB7672" w:rsidRDefault="00000000">
      <w:pPr>
        <w:pStyle w:val="Heading1"/>
        <w:pBdr>
          <w:bottom w:val="single" w:sz="6" w:space="4" w:color="000000"/>
        </w:pBdr>
        <w:spacing w:before="360" w:after="160"/>
      </w:pPr>
      <w:r>
        <w:rPr>
          <w:b/>
          <w:bCs/>
          <w:color w:val="000000"/>
          <w:sz w:val="30"/>
          <w:szCs w:val="30"/>
        </w:rPr>
        <w:t>Key Takeaways</w:t>
      </w:r>
    </w:p>
    <w:p w14:paraId="58A0282E" w14:textId="77777777" w:rsidR="00DB7672" w:rsidRDefault="00000000">
      <w:pPr>
        <w:pStyle w:val="ListParagraph"/>
        <w:numPr>
          <w:ilvl w:val="0"/>
          <w:numId w:val="2"/>
        </w:numPr>
        <w:spacing w:after="100" w:line="276" w:lineRule="auto"/>
      </w:pPr>
      <w:r>
        <w:t>Revolving utilization and age are both strong, intuitive predictors of delinquency risk on their own, confirmed twice: once through exploratory analysis and again independently through SQL queries against the cloud-hosted dataset.</w:t>
      </w:r>
    </w:p>
    <w:p w14:paraId="13325BAF" w14:textId="77777777" w:rsidR="00DB7672" w:rsidRDefault="00000000">
      <w:pPr>
        <w:pStyle w:val="ListParagraph"/>
        <w:numPr>
          <w:ilvl w:val="0"/>
          <w:numId w:val="2"/>
        </w:numPr>
        <w:spacing w:after="100" w:line="276" w:lineRule="auto"/>
      </w:pPr>
      <w:r>
        <w:t>A more accurate model (gradient boosting) does not just reduce losses. It lets a lender approve more applicants at the same time, because it is better at separating risky applicants from safe ones.</w:t>
      </w:r>
    </w:p>
    <w:p w14:paraId="0DF3FC6E" w14:textId="77777777" w:rsidR="00DB7672" w:rsidRDefault="00000000">
      <w:pPr>
        <w:pStyle w:val="ListParagraph"/>
        <w:numPr>
          <w:ilvl w:val="0"/>
          <w:numId w:val="2"/>
        </w:numPr>
        <w:spacing w:after="100" w:line="276" w:lineRule="auto"/>
      </w:pPr>
      <w:r>
        <w:t>Choosing the right decision threshold matters as much as, or more than, choosing the right model: an untuned 50% cutoff cost nearly double what the properly optimized cutoff cost, for either model.</w:t>
      </w:r>
    </w:p>
    <w:p w14:paraId="6427AFBF" w14:textId="77777777" w:rsidR="00DB7672" w:rsidRDefault="00000000">
      <w:pPr>
        <w:pStyle w:val="ListParagraph"/>
        <w:numPr>
          <w:ilvl w:val="0"/>
          <w:numId w:val="2"/>
        </w:numPr>
        <w:spacing w:after="100" w:line="276" w:lineRule="auto"/>
      </w:pPr>
      <w:r>
        <w:t>Model overconfidence is a real, checkable problem. The gradient boosting model needed isotonic calibration to make its probabilities trustworthy, and the naive fix (Platt scaling) actually made things worse, underscoring the value of checking, rather than assuming, that a fix works.</w:t>
      </w:r>
    </w:p>
    <w:p w14:paraId="618E1D88" w14:textId="77777777" w:rsidR="00DB7672" w:rsidRDefault="00000000">
      <w:pPr>
        <w:pStyle w:val="ListParagraph"/>
        <w:numPr>
          <w:ilvl w:val="0"/>
          <w:numId w:val="2"/>
        </w:numPr>
        <w:spacing w:after="100" w:line="276" w:lineRule="auto"/>
      </w:pPr>
      <w:r>
        <w:t>Every dollar figure in this case study depends on illustrative cost assumptions, since the dataset itself contains no real loan, rate, or recovery data. The relative conclusions (which model is better, and that threshold tuning matters) are robust to those assumptions; the exact dollar amounts are not.</w:t>
      </w:r>
    </w:p>
    <w:p w14:paraId="240FE0DF" w14:textId="77777777" w:rsidR="00DB7672" w:rsidRDefault="00000000">
      <w:pPr>
        <w:pStyle w:val="Heading1"/>
        <w:pBdr>
          <w:bottom w:val="single" w:sz="6" w:space="4" w:color="000000"/>
        </w:pBdr>
        <w:spacing w:before="360" w:after="160"/>
      </w:pPr>
      <w:r>
        <w:rPr>
          <w:b/>
          <w:bCs/>
          <w:color w:val="000000"/>
          <w:sz w:val="30"/>
          <w:szCs w:val="30"/>
        </w:rPr>
        <w:t>Governance and Fair Lending Considerations</w:t>
      </w:r>
    </w:p>
    <w:p w14:paraId="10328529" w14:textId="77777777" w:rsidR="00DB7672" w:rsidRDefault="00000000">
      <w:pPr>
        <w:spacing w:after="180" w:line="288" w:lineRule="auto"/>
      </w:pPr>
      <w:r>
        <w:t xml:space="preserve">This case study is built for demonstration, not deployment, and using a model like this on real applicants would raise real governance questions. Age is one of the two strongest predictors found here and was included directly as a model input, but in U.S. consumer lending, age is a protected characteristic under the Equal Credit Opportunity Act and Regulation B, and its use in credit scoring is tightly restricted rather than simply a variable that happens to work well. Regulation B also requires lenders to give applicants a specific, understandable reason when they are declined, which is harder for a model like gradient boosting, where a prediction comes from the combined effect of many trees rather than a small set of clearly weighted factors. Before a model like this reached real applicants, it would need a legal and compliance review of which variables are actually permissible to use, an explainability layer (such as SHAP values) </w:t>
      </w:r>
      <w:r>
        <w:lastRenderedPageBreak/>
        <w:t>so declined applicants can be given a specific reason, and formal bias and disparate-impact testing across protected groups.</w:t>
      </w:r>
    </w:p>
    <w:p w14:paraId="7D2B2792" w14:textId="77777777" w:rsidR="00DB7672" w:rsidRDefault="00000000">
      <w:pPr>
        <w:pStyle w:val="Heading1"/>
        <w:pBdr>
          <w:bottom w:val="single" w:sz="6" w:space="4" w:color="000000"/>
        </w:pBdr>
        <w:spacing w:before="360" w:after="160"/>
      </w:pPr>
      <w:r>
        <w:rPr>
          <w:b/>
          <w:bCs/>
          <w:color w:val="000000"/>
          <w:sz w:val="30"/>
          <w:szCs w:val="30"/>
        </w:rPr>
        <w:t>Tools and Techniques Used</w:t>
      </w:r>
    </w:p>
    <w:p w14:paraId="7B99F649" w14:textId="77777777" w:rsidR="00DB7672" w:rsidRDefault="00000000">
      <w:pPr>
        <w:spacing w:after="180" w:line="288" w:lineRule="auto"/>
      </w:pPr>
      <w:r>
        <w:t xml:space="preserve">This case study was built end to end using a mix of tools chosen to match the task rather than to show off a checklist: Python (pandas, scikit-learn, and </w:t>
      </w:r>
      <w:proofErr w:type="spellStart"/>
      <w:r>
        <w:t>XGBoost</w:t>
      </w:r>
      <w:proofErr w:type="spellEnd"/>
      <w:r>
        <w:t>) for data cleaning, modeling, and calibration; Microsoft Azure SQL Database and T-SQL for hosting the cleaned dataset and running the exploratory and data-quality queries shown above; and Microsoft Excel, including a live VLOOKUP formula, for turning the model's output into a pricing table a non-technical reviewer could open and understand.</w:t>
      </w:r>
    </w:p>
    <w:sectPr w:rsidR="00DB7672">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8D1A56" w14:textId="77777777" w:rsidR="00E85171" w:rsidRDefault="00E85171">
      <w:r>
        <w:separator/>
      </w:r>
    </w:p>
  </w:endnote>
  <w:endnote w:type="continuationSeparator" w:id="0">
    <w:p w14:paraId="198C3B19" w14:textId="77777777" w:rsidR="00E85171" w:rsidRDefault="00E851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ADFF68" w14:textId="77777777" w:rsidR="00DB7672" w:rsidRDefault="00000000">
    <w:pPr>
      <w:jc w:val="center"/>
    </w:pPr>
    <w:r>
      <w:rPr>
        <w:color w:val="808080"/>
        <w:sz w:val="16"/>
        <w:szCs w:val="16"/>
      </w:rPr>
      <w:fldChar w:fldCharType="begin"/>
    </w:r>
    <w:r>
      <w:rPr>
        <w:color w:val="808080"/>
        <w:sz w:val="16"/>
        <w:szCs w:val="16"/>
      </w:rPr>
      <w:instrText>PAGE</w:instrText>
    </w:r>
    <w:r>
      <w:rPr>
        <w:color w:val="808080"/>
        <w:sz w:val="16"/>
        <w:szCs w:val="16"/>
      </w:rPr>
      <w:fldChar w:fldCharType="separate"/>
    </w:r>
    <w:r w:rsidR="005923E3">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4D1D6B" w14:textId="77777777" w:rsidR="00E85171" w:rsidRDefault="00E85171">
      <w:r>
        <w:separator/>
      </w:r>
    </w:p>
  </w:footnote>
  <w:footnote w:type="continuationSeparator" w:id="0">
    <w:p w14:paraId="14D6FCF1" w14:textId="77777777" w:rsidR="00E85171" w:rsidRDefault="00E8517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0F47A0"/>
    <w:multiLevelType w:val="hybridMultilevel"/>
    <w:tmpl w:val="F320BD8A"/>
    <w:lvl w:ilvl="0" w:tplc="E2E282EE">
      <w:start w:val="1"/>
      <w:numFmt w:val="bullet"/>
      <w:lvlText w:val="•"/>
      <w:lvlJc w:val="left"/>
      <w:pPr>
        <w:ind w:left="460" w:hanging="260"/>
      </w:pPr>
    </w:lvl>
    <w:lvl w:ilvl="1" w:tplc="4A24B6A0">
      <w:numFmt w:val="decimal"/>
      <w:lvlText w:val=""/>
      <w:lvlJc w:val="left"/>
    </w:lvl>
    <w:lvl w:ilvl="2" w:tplc="C1FEA7A6">
      <w:numFmt w:val="decimal"/>
      <w:lvlText w:val=""/>
      <w:lvlJc w:val="left"/>
    </w:lvl>
    <w:lvl w:ilvl="3" w:tplc="36A81E12">
      <w:numFmt w:val="decimal"/>
      <w:lvlText w:val=""/>
      <w:lvlJc w:val="left"/>
    </w:lvl>
    <w:lvl w:ilvl="4" w:tplc="DFD4857A">
      <w:numFmt w:val="decimal"/>
      <w:lvlText w:val=""/>
      <w:lvlJc w:val="left"/>
    </w:lvl>
    <w:lvl w:ilvl="5" w:tplc="25F8F368">
      <w:numFmt w:val="decimal"/>
      <w:lvlText w:val=""/>
      <w:lvlJc w:val="left"/>
    </w:lvl>
    <w:lvl w:ilvl="6" w:tplc="9A706814">
      <w:numFmt w:val="decimal"/>
      <w:lvlText w:val=""/>
      <w:lvlJc w:val="left"/>
    </w:lvl>
    <w:lvl w:ilvl="7" w:tplc="1EBC664C">
      <w:numFmt w:val="decimal"/>
      <w:lvlText w:val=""/>
      <w:lvlJc w:val="left"/>
    </w:lvl>
    <w:lvl w:ilvl="8" w:tplc="D4E881B8">
      <w:numFmt w:val="decimal"/>
      <w:lvlText w:val=""/>
      <w:lvlJc w:val="left"/>
    </w:lvl>
  </w:abstractNum>
  <w:abstractNum w:abstractNumId="1" w15:restartNumberingAfterBreak="0">
    <w:nsid w:val="7E1367B0"/>
    <w:multiLevelType w:val="hybridMultilevel"/>
    <w:tmpl w:val="10887A28"/>
    <w:lvl w:ilvl="0" w:tplc="B3764E0E">
      <w:start w:val="1"/>
      <w:numFmt w:val="bullet"/>
      <w:lvlText w:val="●"/>
      <w:lvlJc w:val="left"/>
      <w:pPr>
        <w:ind w:left="720" w:hanging="360"/>
      </w:pPr>
    </w:lvl>
    <w:lvl w:ilvl="1" w:tplc="C380A9AA">
      <w:start w:val="1"/>
      <w:numFmt w:val="bullet"/>
      <w:lvlText w:val="○"/>
      <w:lvlJc w:val="left"/>
      <w:pPr>
        <w:ind w:left="1440" w:hanging="360"/>
      </w:pPr>
    </w:lvl>
    <w:lvl w:ilvl="2" w:tplc="5052BC3E">
      <w:start w:val="1"/>
      <w:numFmt w:val="bullet"/>
      <w:lvlText w:val="■"/>
      <w:lvlJc w:val="left"/>
      <w:pPr>
        <w:ind w:left="2160" w:hanging="360"/>
      </w:pPr>
    </w:lvl>
    <w:lvl w:ilvl="3" w:tplc="317CD12E">
      <w:start w:val="1"/>
      <w:numFmt w:val="bullet"/>
      <w:lvlText w:val="●"/>
      <w:lvlJc w:val="left"/>
      <w:pPr>
        <w:ind w:left="2880" w:hanging="360"/>
      </w:pPr>
    </w:lvl>
    <w:lvl w:ilvl="4" w:tplc="8C8C7EF6">
      <w:start w:val="1"/>
      <w:numFmt w:val="bullet"/>
      <w:lvlText w:val="○"/>
      <w:lvlJc w:val="left"/>
      <w:pPr>
        <w:ind w:left="3600" w:hanging="360"/>
      </w:pPr>
    </w:lvl>
    <w:lvl w:ilvl="5" w:tplc="30C41C5A">
      <w:start w:val="1"/>
      <w:numFmt w:val="bullet"/>
      <w:lvlText w:val="■"/>
      <w:lvlJc w:val="left"/>
      <w:pPr>
        <w:ind w:left="4320" w:hanging="360"/>
      </w:pPr>
    </w:lvl>
    <w:lvl w:ilvl="6" w:tplc="F78C5EA2">
      <w:start w:val="1"/>
      <w:numFmt w:val="bullet"/>
      <w:lvlText w:val="●"/>
      <w:lvlJc w:val="left"/>
      <w:pPr>
        <w:ind w:left="5040" w:hanging="360"/>
      </w:pPr>
    </w:lvl>
    <w:lvl w:ilvl="7" w:tplc="08FC30EC">
      <w:start w:val="1"/>
      <w:numFmt w:val="bullet"/>
      <w:lvlText w:val="●"/>
      <w:lvlJc w:val="left"/>
      <w:pPr>
        <w:ind w:left="5760" w:hanging="360"/>
      </w:pPr>
    </w:lvl>
    <w:lvl w:ilvl="8" w:tplc="1D34D624">
      <w:start w:val="1"/>
      <w:numFmt w:val="bullet"/>
      <w:lvlText w:val="●"/>
      <w:lvlJc w:val="left"/>
      <w:pPr>
        <w:ind w:left="6480" w:hanging="360"/>
      </w:pPr>
    </w:lvl>
  </w:abstractNum>
  <w:num w:numId="1" w16cid:durableId="965086854">
    <w:abstractNumId w:val="1"/>
    <w:lvlOverride w:ilvl="0">
      <w:startOverride w:val="1"/>
    </w:lvlOverride>
  </w:num>
  <w:num w:numId="2" w16cid:durableId="3459875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7672"/>
    <w:rsid w:val="005923E3"/>
    <w:rsid w:val="00BA5929"/>
    <w:rsid w:val="00DB7672"/>
    <w:rsid w:val="00E851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CC490"/>
  <w15:docId w15:val="{98874581-06AD-4B3B-947C-5127EC2705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262626"/>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2958</Words>
  <Characters>16865</Characters>
  <Application>Microsoft Office Word</Application>
  <DocSecurity>0</DocSecurity>
  <Lines>140</Lines>
  <Paragraphs>39</Paragraphs>
  <ScaleCrop>false</ScaleCrop>
  <Company/>
  <LinksUpToDate>false</LinksUpToDate>
  <CharactersWithSpaces>19784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Joel Kotturi (24517728)</cp:lastModifiedBy>
  <cp:revision>2</cp:revision>
  <dcterms:created xsi:type="dcterms:W3CDTF">2026-09-11T15:39:00Z</dcterms:created>
  <dcterms:modified xsi:type="dcterms:W3CDTF">2026-09-11T15:46:00Z</dcterms:modified>
</cp:coreProperties>
</file>