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96D65" w14:textId="77777777" w:rsidR="009C4CF0" w:rsidRDefault="00000000">
      <w:pPr>
        <w:spacing w:after="40"/>
      </w:pPr>
      <w:r>
        <w:rPr>
          <w:b/>
          <w:bCs/>
          <w:color w:val="1F2A44"/>
          <w:sz w:val="40"/>
          <w:szCs w:val="40"/>
        </w:rPr>
        <w:t>Customer Lifetime Value &amp; Campaign Impact</w:t>
      </w:r>
    </w:p>
    <w:p w14:paraId="4DA6A9FC" w14:textId="77777777" w:rsidR="009C4CF0" w:rsidRPr="00826620" w:rsidRDefault="00000000">
      <w:pPr>
        <w:spacing w:after="40"/>
        <w:rPr>
          <w:color w:val="auto"/>
        </w:rPr>
      </w:pPr>
      <w:r w:rsidRPr="00826620">
        <w:rPr>
          <w:i/>
          <w:iCs/>
          <w:color w:val="auto"/>
          <w:sz w:val="26"/>
          <w:szCs w:val="26"/>
        </w:rPr>
        <w:t>A Business Analytics Case Study</w:t>
      </w:r>
    </w:p>
    <w:p w14:paraId="0DD410C7" w14:textId="77777777" w:rsidR="009C4CF0" w:rsidRDefault="00000000">
      <w:pPr>
        <w:spacing w:after="300"/>
      </w:pPr>
      <w:r>
        <w:rPr>
          <w:color w:val="5B6472"/>
          <w:sz w:val="20"/>
          <w:szCs w:val="20"/>
        </w:rPr>
        <w:t>Joel Kotturi   •   Data source: dunnhumby “The Complete Journey” (2 years, 2,500 households)</w:t>
      </w:r>
    </w:p>
    <w:p w14:paraId="1B9448CF" w14:textId="50173D6E" w:rsidR="009C4CF0" w:rsidRDefault="00000000" w:rsidP="00A82BED">
      <w:pPr>
        <w:pStyle w:val="Heading1"/>
        <w:pBdr>
          <w:top w:val="single" w:sz="6" w:space="1" w:color="000000" w:themeColor="text1"/>
        </w:pBdr>
        <w:spacing w:before="360" w:after="160"/>
      </w:pPr>
      <w:r>
        <w:rPr>
          <w:b/>
          <w:bCs/>
          <w:color w:val="1F2A44"/>
          <w:sz w:val="28"/>
          <w:szCs w:val="28"/>
        </w:rPr>
        <w:t>Executive Summary</w:t>
      </w:r>
    </w:p>
    <w:p w14:paraId="22B9EE9D" w14:textId="77777777" w:rsidR="009C4CF0" w:rsidRDefault="00000000">
      <w:pPr>
        <w:spacing w:after="160" w:line="300" w:lineRule="auto"/>
      </w:pPr>
      <w:r>
        <w:t>This case study answers two questions for a retail business: which customers are worth the most over time, and did a specific marketing campaign, Campaign 18, actually cause customers to spend more, or would that spending have happened anyway?</w:t>
      </w:r>
    </w:p>
    <w:p w14:paraId="5203C677" w14:textId="77777777" w:rsidR="009C4CF0" w:rsidRDefault="00000000">
      <w:pPr>
        <w:spacing w:after="160" w:line="300" w:lineRule="auto"/>
      </w:pPr>
      <w:r>
        <w:t>Customer value turns out to be highly concentrated: the top 20% of households are predicted to generate 53.9% of all future spend over the next 12 months. On the campaign question, the honest answer is that Campaign 18 did not cause incremental spending. An initial, naive comparison suggested it did, but that comparison was contaminated by households who were also exposed to other campaigns at the same time. Once that contamination was removed, the effect disappeared.</w:t>
      </w:r>
    </w:p>
    <w:p w14:paraId="75E19D5E" w14:textId="77777777" w:rsidR="009C4CF0" w:rsidRDefault="00000000" w:rsidP="00A82BED">
      <w:pPr>
        <w:pStyle w:val="Heading1"/>
        <w:pBdr>
          <w:bottom w:val="single" w:sz="6" w:space="4" w:color="000000" w:themeColor="text1"/>
        </w:pBdr>
        <w:spacing w:before="360" w:after="160"/>
      </w:pPr>
      <w:r>
        <w:rPr>
          <w:b/>
          <w:bCs/>
          <w:color w:val="1F2A44"/>
          <w:sz w:val="28"/>
          <w:szCs w:val="28"/>
        </w:rPr>
        <w:t>Business Question</w:t>
      </w:r>
    </w:p>
    <w:p w14:paraId="6B5F0CB1" w14:textId="77777777" w:rsidR="009C4CF0" w:rsidRDefault="00000000">
      <w:pPr>
        <w:spacing w:after="160" w:line="300" w:lineRule="auto"/>
      </w:pPr>
      <w:r>
        <w:t>Two related questions were investigated using two years of real household transaction data:</w:t>
      </w:r>
    </w:p>
    <w:p w14:paraId="3876D1B8" w14:textId="77777777" w:rsidR="009C4CF0" w:rsidRDefault="00000000">
      <w:pPr>
        <w:pStyle w:val="ListParagraph"/>
        <w:numPr>
          <w:ilvl w:val="0"/>
          <w:numId w:val="1"/>
        </w:numPr>
        <w:spacing w:after="90" w:line="280" w:lineRule="auto"/>
      </w:pPr>
      <w:r>
        <w:t>Which customers are worth the most to the business over their lifetime, and where should retention and loyalty investment be concentrated?</w:t>
      </w:r>
    </w:p>
    <w:p w14:paraId="41585D94" w14:textId="77777777" w:rsidR="009C4CF0" w:rsidRDefault="00000000">
      <w:pPr>
        <w:pStyle w:val="ListParagraph"/>
        <w:numPr>
          <w:ilvl w:val="0"/>
          <w:numId w:val="1"/>
        </w:numPr>
        <w:spacing w:after="90" w:line="280" w:lineRule="auto"/>
      </w:pPr>
      <w:r>
        <w:t>Did Campaign 18 actually cause an increase in household spending, or does the apparent lift disappear once the comparison is done fairly?</w:t>
      </w:r>
    </w:p>
    <w:p w14:paraId="760AD985" w14:textId="77777777" w:rsidR="009C4CF0" w:rsidRDefault="00000000" w:rsidP="00A82BED">
      <w:pPr>
        <w:pStyle w:val="Heading1"/>
        <w:pBdr>
          <w:bottom w:val="single" w:sz="6" w:space="4" w:color="auto"/>
        </w:pBdr>
        <w:spacing w:before="360" w:after="160"/>
      </w:pPr>
      <w:r>
        <w:rPr>
          <w:b/>
          <w:bCs/>
          <w:color w:val="1F2A44"/>
          <w:sz w:val="28"/>
          <w:szCs w:val="28"/>
        </w:rPr>
        <w:t>Data &amp; Methodology</w:t>
      </w:r>
    </w:p>
    <w:p w14:paraId="1947AC98" w14:textId="77777777" w:rsidR="009C4CF0" w:rsidRDefault="00000000">
      <w:pPr>
        <w:pStyle w:val="Heading2"/>
        <w:spacing w:before="240" w:after="120"/>
      </w:pPr>
      <w:r>
        <w:rPr>
          <w:b/>
          <w:bCs/>
          <w:color w:val="1F2A44"/>
          <w:sz w:val="24"/>
          <w:szCs w:val="24"/>
        </w:rPr>
        <w:t>Customer Lifetime Value (CLV) model</w:t>
      </w:r>
    </w:p>
    <w:p w14:paraId="6DB4FEA2" w14:textId="77777777" w:rsidR="009C4CF0" w:rsidRDefault="00000000">
      <w:pPr>
        <w:spacing w:after="160" w:line="300" w:lineRule="auto"/>
      </w:pPr>
      <w:r>
        <w:t xml:space="preserve">Household purchase histories were modeled using a probabilistic “Buy </w:t>
      </w:r>
      <w:proofErr w:type="gramStart"/>
      <w:r>
        <w:t>Till</w:t>
      </w:r>
      <w:proofErr w:type="gramEnd"/>
      <w:r>
        <w:t xml:space="preserve"> You Die” framework: a BG/NBD model to estimate how often and how likely a household is to keep purchasing, combined with a Gamma-Gamma model to estimate how much they spend per transaction. Together these produce a 12-month CLV forecast for every household. The model was validated on a held-out time period, and its predictions correlated with actual holdout spending at 0.797, a strong result for this type of forecast.</w:t>
      </w:r>
    </w:p>
    <w:p w14:paraId="53998EA0" w14:textId="77777777" w:rsidR="009C4CF0" w:rsidRDefault="00000000">
      <w:pPr>
        <w:pStyle w:val="Heading2"/>
        <w:spacing w:before="240" w:after="120"/>
      </w:pPr>
      <w:r>
        <w:rPr>
          <w:b/>
          <w:bCs/>
          <w:color w:val="1F2A44"/>
          <w:sz w:val="24"/>
          <w:szCs w:val="24"/>
        </w:rPr>
        <w:t>Campaign causal impact test</w:t>
      </w:r>
    </w:p>
    <w:p w14:paraId="4501810B" w14:textId="77777777" w:rsidR="009C4CF0" w:rsidRDefault="00000000">
      <w:pPr>
        <w:spacing w:after="160" w:line="300" w:lineRule="auto"/>
      </w:pPr>
      <w:r>
        <w:t>Rather than comparing simple before-and-after averages, which cannot separate a campaign's effect from background trend, the campaign's impact was tested using a Difference-in-Differences (</w:t>
      </w:r>
      <w:proofErr w:type="spellStart"/>
      <w:r>
        <w:t>DiD</w:t>
      </w:r>
      <w:proofErr w:type="spellEnd"/>
      <w:r>
        <w:t>) design: household spending was indexed and compared between a group that received Campaign 18 and a group that never received any campaign, before and after the campaign period.</w:t>
      </w:r>
    </w:p>
    <w:p w14:paraId="65C05291" w14:textId="77777777" w:rsidR="009C4CF0" w:rsidRDefault="00000000">
      <w:pPr>
        <w:spacing w:after="160" w:line="300" w:lineRule="auto"/>
      </w:pPr>
      <w:r>
        <w:t xml:space="preserve">A first, quick version of this test used all 1,133 households that received Campaign 18. That comparison suggested a positive effect, but many of these households had also received other, overlapping campaigns </w:t>
      </w:r>
      <w:r>
        <w:lastRenderedPageBreak/>
        <w:t xml:space="preserve">during the same window, so any lift could not be confidently attributed to Campaign 18 alone. A robustness </w:t>
      </w:r>
      <w:proofErr w:type="gramStart"/>
      <w:r>
        <w:t>check</w:t>
      </w:r>
      <w:proofErr w:type="gramEnd"/>
      <w:r>
        <w:t xml:space="preserve"> then isolated a clean subgroup, the 165 households that received Campaign 18 and no other campaign, and re-ran the identical test on that group only.</w:t>
      </w:r>
    </w:p>
    <w:p w14:paraId="1E2C8122" w14:textId="77777777" w:rsidR="009C4CF0" w:rsidRDefault="00000000" w:rsidP="00A82BED">
      <w:pPr>
        <w:pStyle w:val="Heading1"/>
        <w:pBdr>
          <w:bottom w:val="single" w:sz="6" w:space="4" w:color="auto"/>
        </w:pBdr>
        <w:spacing w:before="360" w:after="160"/>
      </w:pPr>
      <w:r>
        <w:rPr>
          <w:b/>
          <w:bCs/>
          <w:color w:val="1F2A44"/>
          <w:sz w:val="28"/>
          <w:szCs w:val="28"/>
        </w:rPr>
        <w:t>Key Findings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4100"/>
      </w:tblGrid>
      <w:tr w:rsidR="009C4CF0" w14:paraId="055940F1" w14:textId="77777777" w:rsidTr="00F7146D">
        <w:tblPrEx>
          <w:tblCellMar>
            <w:top w:w="0" w:type="dxa"/>
            <w:bottom w:w="0" w:type="dxa"/>
          </w:tblCellMar>
        </w:tblPrEx>
        <w:trPr>
          <w:tblHeader/>
        </w:trPr>
        <w:tc>
          <w:tcPr>
            <w:tcW w:w="3400" w:type="dxa"/>
            <w:shd w:val="clear" w:color="auto" w:fill="595959" w:themeFill="text1" w:themeFillTint="A6"/>
            <w:tcMar>
              <w:top w:w="80" w:type="dxa"/>
              <w:left w:w="100" w:type="dxa"/>
              <w:bottom w:w="80" w:type="dxa"/>
              <w:right w:w="100" w:type="dxa"/>
            </w:tcMar>
          </w:tcPr>
          <w:p w14:paraId="2C62C3E1" w14:textId="77777777" w:rsidR="009C4CF0" w:rsidRDefault="00000000">
            <w:r>
              <w:rPr>
                <w:b/>
                <w:bCs/>
                <w:color w:val="FFFFFF"/>
                <w:sz w:val="20"/>
                <w:szCs w:val="20"/>
              </w:rPr>
              <w:t>Metric</w:t>
            </w:r>
          </w:p>
        </w:tc>
        <w:tc>
          <w:tcPr>
            <w:tcW w:w="2000" w:type="dxa"/>
            <w:shd w:val="clear" w:color="auto" w:fill="595959" w:themeFill="text1" w:themeFillTint="A6"/>
            <w:tcMar>
              <w:top w:w="80" w:type="dxa"/>
              <w:left w:w="100" w:type="dxa"/>
              <w:bottom w:w="80" w:type="dxa"/>
              <w:right w:w="100" w:type="dxa"/>
            </w:tcMar>
          </w:tcPr>
          <w:p w14:paraId="64015000" w14:textId="77777777" w:rsidR="009C4CF0" w:rsidRDefault="00000000">
            <w:pPr>
              <w:jc w:val="center"/>
            </w:pPr>
            <w:r>
              <w:rPr>
                <w:b/>
                <w:bCs/>
                <w:color w:val="FFFFFF"/>
                <w:sz w:val="20"/>
                <w:szCs w:val="20"/>
              </w:rPr>
              <w:t>Value</w:t>
            </w:r>
          </w:p>
        </w:tc>
        <w:tc>
          <w:tcPr>
            <w:tcW w:w="4100" w:type="dxa"/>
            <w:shd w:val="clear" w:color="auto" w:fill="595959" w:themeFill="text1" w:themeFillTint="A6"/>
            <w:tcMar>
              <w:top w:w="80" w:type="dxa"/>
              <w:left w:w="100" w:type="dxa"/>
              <w:bottom w:w="80" w:type="dxa"/>
              <w:right w:w="100" w:type="dxa"/>
            </w:tcMar>
          </w:tcPr>
          <w:p w14:paraId="2166F1DC" w14:textId="77777777" w:rsidR="009C4CF0" w:rsidRDefault="00000000">
            <w:r>
              <w:rPr>
                <w:b/>
                <w:bCs/>
                <w:color w:val="FFFFFF"/>
                <w:sz w:val="20"/>
                <w:szCs w:val="20"/>
              </w:rPr>
              <w:t>Note</w:t>
            </w:r>
          </w:p>
        </w:tc>
      </w:tr>
      <w:tr w:rsidR="009C4CF0" w14:paraId="273C4C0A"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4C1D23FC" w14:textId="77777777" w:rsidR="009C4CF0" w:rsidRDefault="00000000">
            <w:r>
              <w:rPr>
                <w:sz w:val="20"/>
                <w:szCs w:val="20"/>
              </w:rPr>
              <w:t>Households analyzed</w:t>
            </w:r>
          </w:p>
        </w:tc>
        <w:tc>
          <w:tcPr>
            <w:tcW w:w="2000" w:type="dxa"/>
            <w:shd w:val="clear" w:color="auto" w:fill="FFFFFF"/>
            <w:tcMar>
              <w:top w:w="80" w:type="dxa"/>
              <w:left w:w="100" w:type="dxa"/>
              <w:bottom w:w="80" w:type="dxa"/>
              <w:right w:w="100" w:type="dxa"/>
            </w:tcMar>
          </w:tcPr>
          <w:p w14:paraId="14FA4A80" w14:textId="77777777" w:rsidR="009C4CF0" w:rsidRDefault="00000000">
            <w:pPr>
              <w:jc w:val="center"/>
            </w:pPr>
            <w:r>
              <w:rPr>
                <w:b/>
                <w:bCs/>
                <w:sz w:val="20"/>
                <w:szCs w:val="20"/>
              </w:rPr>
              <w:t>2,500</w:t>
            </w:r>
          </w:p>
        </w:tc>
        <w:tc>
          <w:tcPr>
            <w:tcW w:w="4100" w:type="dxa"/>
            <w:shd w:val="clear" w:color="auto" w:fill="FFFFFF"/>
            <w:tcMar>
              <w:top w:w="80" w:type="dxa"/>
              <w:left w:w="100" w:type="dxa"/>
              <w:bottom w:w="80" w:type="dxa"/>
              <w:right w:w="100" w:type="dxa"/>
            </w:tcMar>
          </w:tcPr>
          <w:p w14:paraId="6108BCB5" w14:textId="77777777" w:rsidR="009C4CF0" w:rsidRDefault="00000000">
            <w:r>
              <w:rPr>
                <w:color w:val="5B6472"/>
                <w:sz w:val="20"/>
                <w:szCs w:val="20"/>
              </w:rPr>
              <w:t>100% of the dunnhumby household panel</w:t>
            </w:r>
          </w:p>
        </w:tc>
      </w:tr>
      <w:tr w:rsidR="009C4CF0" w14:paraId="6191A186" w14:textId="77777777">
        <w:tblPrEx>
          <w:tblCellMar>
            <w:top w:w="0" w:type="dxa"/>
            <w:bottom w:w="0" w:type="dxa"/>
          </w:tblCellMar>
        </w:tblPrEx>
        <w:tc>
          <w:tcPr>
            <w:tcW w:w="3400" w:type="dxa"/>
            <w:shd w:val="clear" w:color="auto" w:fill="F3F4F6"/>
            <w:tcMar>
              <w:top w:w="80" w:type="dxa"/>
              <w:left w:w="100" w:type="dxa"/>
              <w:bottom w:w="80" w:type="dxa"/>
              <w:right w:w="100" w:type="dxa"/>
            </w:tcMar>
          </w:tcPr>
          <w:p w14:paraId="4F3DDEC5" w14:textId="77777777" w:rsidR="009C4CF0" w:rsidRDefault="00000000">
            <w:r>
              <w:rPr>
                <w:sz w:val="20"/>
                <w:szCs w:val="20"/>
              </w:rPr>
              <w:t>Total predicted 12-month CLV</w:t>
            </w:r>
          </w:p>
        </w:tc>
        <w:tc>
          <w:tcPr>
            <w:tcW w:w="2000" w:type="dxa"/>
            <w:shd w:val="clear" w:color="auto" w:fill="F3F4F6"/>
            <w:tcMar>
              <w:top w:w="80" w:type="dxa"/>
              <w:left w:w="100" w:type="dxa"/>
              <w:bottom w:w="80" w:type="dxa"/>
              <w:right w:w="100" w:type="dxa"/>
            </w:tcMar>
          </w:tcPr>
          <w:p w14:paraId="1397FBD1" w14:textId="77777777" w:rsidR="009C4CF0" w:rsidRDefault="00000000">
            <w:pPr>
              <w:jc w:val="center"/>
            </w:pPr>
            <w:r>
              <w:rPr>
                <w:b/>
                <w:bCs/>
                <w:sz w:val="20"/>
                <w:szCs w:val="20"/>
              </w:rPr>
              <w:t>$4,052,798</w:t>
            </w:r>
          </w:p>
        </w:tc>
        <w:tc>
          <w:tcPr>
            <w:tcW w:w="4100" w:type="dxa"/>
            <w:shd w:val="clear" w:color="auto" w:fill="F3F4F6"/>
            <w:tcMar>
              <w:top w:w="80" w:type="dxa"/>
              <w:left w:w="100" w:type="dxa"/>
              <w:bottom w:w="80" w:type="dxa"/>
              <w:right w:w="100" w:type="dxa"/>
            </w:tcMar>
          </w:tcPr>
          <w:p w14:paraId="48A44902" w14:textId="77777777" w:rsidR="009C4CF0" w:rsidRDefault="00000000">
            <w:r>
              <w:rPr>
                <w:color w:val="5B6472"/>
                <w:sz w:val="20"/>
                <w:szCs w:val="20"/>
              </w:rPr>
              <w:t>Sum of forecasted value across all households</w:t>
            </w:r>
          </w:p>
        </w:tc>
      </w:tr>
      <w:tr w:rsidR="009C4CF0" w14:paraId="3EB7FBA2"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2AEE7CAE" w14:textId="77777777" w:rsidR="009C4CF0" w:rsidRDefault="00000000">
            <w:r>
              <w:rPr>
                <w:sz w:val="20"/>
                <w:szCs w:val="20"/>
              </w:rPr>
              <w:t>Median household CLV</w:t>
            </w:r>
          </w:p>
        </w:tc>
        <w:tc>
          <w:tcPr>
            <w:tcW w:w="2000" w:type="dxa"/>
            <w:shd w:val="clear" w:color="auto" w:fill="FFFFFF"/>
            <w:tcMar>
              <w:top w:w="80" w:type="dxa"/>
              <w:left w:w="100" w:type="dxa"/>
              <w:bottom w:w="80" w:type="dxa"/>
              <w:right w:w="100" w:type="dxa"/>
            </w:tcMar>
          </w:tcPr>
          <w:p w14:paraId="1A31E160" w14:textId="77777777" w:rsidR="009C4CF0" w:rsidRDefault="00000000">
            <w:pPr>
              <w:jc w:val="center"/>
            </w:pPr>
            <w:r>
              <w:rPr>
                <w:b/>
                <w:bCs/>
                <w:sz w:val="20"/>
                <w:szCs w:val="20"/>
              </w:rPr>
              <w:t>$1,071</w:t>
            </w:r>
          </w:p>
        </w:tc>
        <w:tc>
          <w:tcPr>
            <w:tcW w:w="4100" w:type="dxa"/>
            <w:shd w:val="clear" w:color="auto" w:fill="FFFFFF"/>
            <w:tcMar>
              <w:top w:w="80" w:type="dxa"/>
              <w:left w:w="100" w:type="dxa"/>
              <w:bottom w:w="80" w:type="dxa"/>
              <w:right w:w="100" w:type="dxa"/>
            </w:tcMar>
          </w:tcPr>
          <w:p w14:paraId="069FE244" w14:textId="77777777" w:rsidR="009C4CF0" w:rsidRDefault="00000000">
            <w:r>
              <w:rPr>
                <w:color w:val="5B6472"/>
                <w:sz w:val="20"/>
                <w:szCs w:val="20"/>
              </w:rPr>
              <w:t>Typical household, next 12 months</w:t>
            </w:r>
          </w:p>
        </w:tc>
      </w:tr>
      <w:tr w:rsidR="009C4CF0" w14:paraId="2732B9B5" w14:textId="77777777">
        <w:tblPrEx>
          <w:tblCellMar>
            <w:top w:w="0" w:type="dxa"/>
            <w:bottom w:w="0" w:type="dxa"/>
          </w:tblCellMar>
        </w:tblPrEx>
        <w:tc>
          <w:tcPr>
            <w:tcW w:w="3400" w:type="dxa"/>
            <w:shd w:val="clear" w:color="auto" w:fill="F3F4F6"/>
            <w:tcMar>
              <w:top w:w="80" w:type="dxa"/>
              <w:left w:w="100" w:type="dxa"/>
              <w:bottom w:w="80" w:type="dxa"/>
              <w:right w:w="100" w:type="dxa"/>
            </w:tcMar>
          </w:tcPr>
          <w:p w14:paraId="333D40C8" w14:textId="77777777" w:rsidR="009C4CF0" w:rsidRDefault="00000000">
            <w:r>
              <w:rPr>
                <w:sz w:val="20"/>
                <w:szCs w:val="20"/>
              </w:rPr>
              <w:t>Top 20% share of total CLV</w:t>
            </w:r>
          </w:p>
        </w:tc>
        <w:tc>
          <w:tcPr>
            <w:tcW w:w="2000" w:type="dxa"/>
            <w:shd w:val="clear" w:color="auto" w:fill="F3F4F6"/>
            <w:tcMar>
              <w:top w:w="80" w:type="dxa"/>
              <w:left w:w="100" w:type="dxa"/>
              <w:bottom w:w="80" w:type="dxa"/>
              <w:right w:w="100" w:type="dxa"/>
            </w:tcMar>
          </w:tcPr>
          <w:p w14:paraId="4FEB04B5" w14:textId="77777777" w:rsidR="009C4CF0" w:rsidRDefault="00000000">
            <w:pPr>
              <w:jc w:val="center"/>
            </w:pPr>
            <w:r>
              <w:rPr>
                <w:b/>
                <w:bCs/>
                <w:sz w:val="20"/>
                <w:szCs w:val="20"/>
              </w:rPr>
              <w:t>53.9%</w:t>
            </w:r>
          </w:p>
        </w:tc>
        <w:tc>
          <w:tcPr>
            <w:tcW w:w="4100" w:type="dxa"/>
            <w:shd w:val="clear" w:color="auto" w:fill="F3F4F6"/>
            <w:tcMar>
              <w:top w:w="80" w:type="dxa"/>
              <w:left w:w="100" w:type="dxa"/>
              <w:bottom w:w="80" w:type="dxa"/>
              <w:right w:w="100" w:type="dxa"/>
            </w:tcMar>
          </w:tcPr>
          <w:p w14:paraId="06207B9C" w14:textId="77777777" w:rsidR="009C4CF0" w:rsidRDefault="00000000">
            <w:r>
              <w:rPr>
                <w:color w:val="5B6472"/>
                <w:sz w:val="20"/>
                <w:szCs w:val="20"/>
              </w:rPr>
              <w:t>500 of 2,500 households</w:t>
            </w:r>
          </w:p>
        </w:tc>
      </w:tr>
      <w:tr w:rsidR="009C4CF0" w14:paraId="51DFEA3A"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600B2AC5" w14:textId="77777777" w:rsidR="009C4CF0" w:rsidRDefault="00000000">
            <w:r>
              <w:rPr>
                <w:sz w:val="20"/>
                <w:szCs w:val="20"/>
              </w:rPr>
              <w:t>Model accuracy (holdout correlation)</w:t>
            </w:r>
          </w:p>
        </w:tc>
        <w:tc>
          <w:tcPr>
            <w:tcW w:w="2000" w:type="dxa"/>
            <w:shd w:val="clear" w:color="auto" w:fill="FFFFFF"/>
            <w:tcMar>
              <w:top w:w="80" w:type="dxa"/>
              <w:left w:w="100" w:type="dxa"/>
              <w:bottom w:w="80" w:type="dxa"/>
              <w:right w:w="100" w:type="dxa"/>
            </w:tcMar>
          </w:tcPr>
          <w:p w14:paraId="2774B57D" w14:textId="77777777" w:rsidR="009C4CF0" w:rsidRDefault="00000000">
            <w:pPr>
              <w:jc w:val="center"/>
            </w:pPr>
            <w:r>
              <w:rPr>
                <w:b/>
                <w:bCs/>
                <w:sz w:val="20"/>
                <w:szCs w:val="20"/>
              </w:rPr>
              <w:t>0.797</w:t>
            </w:r>
          </w:p>
        </w:tc>
        <w:tc>
          <w:tcPr>
            <w:tcW w:w="4100" w:type="dxa"/>
            <w:shd w:val="clear" w:color="auto" w:fill="FFFFFF"/>
            <w:tcMar>
              <w:top w:w="80" w:type="dxa"/>
              <w:left w:w="100" w:type="dxa"/>
              <w:bottom w:w="80" w:type="dxa"/>
              <w:right w:w="100" w:type="dxa"/>
            </w:tcMar>
          </w:tcPr>
          <w:p w14:paraId="436341CB" w14:textId="77777777" w:rsidR="009C4CF0" w:rsidRDefault="00000000">
            <w:r>
              <w:rPr>
                <w:color w:val="5B6472"/>
                <w:sz w:val="20"/>
                <w:szCs w:val="20"/>
              </w:rPr>
              <w:t>Predicted vs. actual holdout spend</w:t>
            </w:r>
          </w:p>
        </w:tc>
      </w:tr>
      <w:tr w:rsidR="009C4CF0" w14:paraId="5E1C74CB" w14:textId="77777777">
        <w:tblPrEx>
          <w:tblCellMar>
            <w:top w:w="0" w:type="dxa"/>
            <w:bottom w:w="0" w:type="dxa"/>
          </w:tblCellMar>
        </w:tblPrEx>
        <w:tc>
          <w:tcPr>
            <w:tcW w:w="3400" w:type="dxa"/>
            <w:shd w:val="clear" w:color="auto" w:fill="F3F4F6"/>
            <w:tcMar>
              <w:top w:w="80" w:type="dxa"/>
              <w:left w:w="100" w:type="dxa"/>
              <w:bottom w:w="80" w:type="dxa"/>
              <w:right w:w="100" w:type="dxa"/>
            </w:tcMar>
          </w:tcPr>
          <w:p w14:paraId="162998FA" w14:textId="77777777" w:rsidR="009C4CF0" w:rsidRDefault="00000000">
            <w:r>
              <w:rPr>
                <w:sz w:val="20"/>
                <w:szCs w:val="20"/>
              </w:rPr>
              <w:t>Campaign 18 effect – before cleanup</w:t>
            </w:r>
          </w:p>
        </w:tc>
        <w:tc>
          <w:tcPr>
            <w:tcW w:w="2000" w:type="dxa"/>
            <w:shd w:val="clear" w:color="auto" w:fill="F3F4F6"/>
            <w:tcMar>
              <w:top w:w="80" w:type="dxa"/>
              <w:left w:w="100" w:type="dxa"/>
              <w:bottom w:w="80" w:type="dxa"/>
              <w:right w:w="100" w:type="dxa"/>
            </w:tcMar>
          </w:tcPr>
          <w:p w14:paraId="54DE637E" w14:textId="77777777" w:rsidR="009C4CF0" w:rsidRDefault="00000000">
            <w:pPr>
              <w:jc w:val="center"/>
            </w:pPr>
            <w:r>
              <w:rPr>
                <w:b/>
                <w:bCs/>
                <w:sz w:val="20"/>
                <w:szCs w:val="20"/>
              </w:rPr>
              <w:t>+$17.52 / household</w:t>
            </w:r>
          </w:p>
        </w:tc>
        <w:tc>
          <w:tcPr>
            <w:tcW w:w="4100" w:type="dxa"/>
            <w:shd w:val="clear" w:color="auto" w:fill="F3F4F6"/>
            <w:tcMar>
              <w:top w:w="80" w:type="dxa"/>
              <w:left w:w="100" w:type="dxa"/>
              <w:bottom w:w="80" w:type="dxa"/>
              <w:right w:w="100" w:type="dxa"/>
            </w:tcMar>
          </w:tcPr>
          <w:p w14:paraId="729BCD36" w14:textId="77777777" w:rsidR="009C4CF0" w:rsidRDefault="00000000">
            <w:r>
              <w:rPr>
                <w:color w:val="5B6472"/>
                <w:sz w:val="20"/>
                <w:szCs w:val="20"/>
              </w:rPr>
              <w:t>n = 1,133; p = 0.017 (contaminated comparison)</w:t>
            </w:r>
          </w:p>
        </w:tc>
      </w:tr>
      <w:tr w:rsidR="009C4CF0" w14:paraId="7B7CB457"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04B98A68" w14:textId="77777777" w:rsidR="009C4CF0" w:rsidRDefault="00000000">
            <w:r>
              <w:rPr>
                <w:sz w:val="20"/>
                <w:szCs w:val="20"/>
              </w:rPr>
              <w:t>Campaign 18 effect – after cleanup</w:t>
            </w:r>
          </w:p>
        </w:tc>
        <w:tc>
          <w:tcPr>
            <w:tcW w:w="2000" w:type="dxa"/>
            <w:shd w:val="clear" w:color="auto" w:fill="FFFFFF"/>
            <w:tcMar>
              <w:top w:w="80" w:type="dxa"/>
              <w:left w:w="100" w:type="dxa"/>
              <w:bottom w:w="80" w:type="dxa"/>
              <w:right w:w="100" w:type="dxa"/>
            </w:tcMar>
          </w:tcPr>
          <w:p w14:paraId="5CFF7885" w14:textId="77777777" w:rsidR="009C4CF0" w:rsidRDefault="00000000">
            <w:pPr>
              <w:jc w:val="center"/>
            </w:pPr>
            <w:r>
              <w:rPr>
                <w:b/>
                <w:bCs/>
                <w:sz w:val="20"/>
                <w:szCs w:val="20"/>
              </w:rPr>
              <w:t>−$1.87 / household</w:t>
            </w:r>
          </w:p>
        </w:tc>
        <w:tc>
          <w:tcPr>
            <w:tcW w:w="4100" w:type="dxa"/>
            <w:shd w:val="clear" w:color="auto" w:fill="FFFFFF"/>
            <w:tcMar>
              <w:top w:w="80" w:type="dxa"/>
              <w:left w:w="100" w:type="dxa"/>
              <w:bottom w:w="80" w:type="dxa"/>
              <w:right w:w="100" w:type="dxa"/>
            </w:tcMar>
          </w:tcPr>
          <w:p w14:paraId="4FBF5DC2" w14:textId="77777777" w:rsidR="009C4CF0" w:rsidRDefault="00000000">
            <w:r>
              <w:rPr>
                <w:color w:val="5B6472"/>
                <w:sz w:val="20"/>
                <w:szCs w:val="20"/>
              </w:rPr>
              <w:t>n = 165; p = 0.896 (not significant)</w:t>
            </w:r>
          </w:p>
        </w:tc>
      </w:tr>
    </w:tbl>
    <w:p w14:paraId="7A1F57C7" w14:textId="77777777" w:rsidR="009C4CF0" w:rsidRDefault="00000000">
      <w:pPr>
        <w:spacing w:before="260" w:after="100"/>
      </w:pPr>
      <w:r>
        <w:rPr>
          <w:b/>
          <w:bCs/>
          <w:color w:val="1F2A44"/>
        </w:rPr>
        <w:t>Customer value by tier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700"/>
        <w:gridCol w:w="2100"/>
      </w:tblGrid>
      <w:tr w:rsidR="009C4CF0" w14:paraId="1746F2B9" w14:textId="77777777" w:rsidTr="00F7146D">
        <w:tblPrEx>
          <w:tblCellMar>
            <w:top w:w="0" w:type="dxa"/>
            <w:bottom w:w="0" w:type="dxa"/>
          </w:tblCellMar>
        </w:tblPrEx>
        <w:trPr>
          <w:tblHeader/>
        </w:trPr>
        <w:tc>
          <w:tcPr>
            <w:tcW w:w="2600" w:type="dxa"/>
            <w:shd w:val="clear" w:color="auto" w:fill="595959" w:themeFill="text1" w:themeFillTint="A6"/>
            <w:tcMar>
              <w:top w:w="80" w:type="dxa"/>
              <w:left w:w="100" w:type="dxa"/>
              <w:bottom w:w="80" w:type="dxa"/>
              <w:right w:w="100" w:type="dxa"/>
            </w:tcMar>
          </w:tcPr>
          <w:p w14:paraId="1F7755F8" w14:textId="77777777" w:rsidR="009C4CF0" w:rsidRDefault="00000000">
            <w:r>
              <w:rPr>
                <w:b/>
                <w:bCs/>
                <w:color w:val="FFFFFF"/>
                <w:sz w:val="20"/>
                <w:szCs w:val="20"/>
              </w:rPr>
              <w:t>Customer tier</w:t>
            </w:r>
          </w:p>
        </w:tc>
        <w:tc>
          <w:tcPr>
            <w:tcW w:w="2100" w:type="dxa"/>
            <w:shd w:val="clear" w:color="auto" w:fill="595959" w:themeFill="text1" w:themeFillTint="A6"/>
            <w:tcMar>
              <w:top w:w="80" w:type="dxa"/>
              <w:left w:w="100" w:type="dxa"/>
              <w:bottom w:w="80" w:type="dxa"/>
              <w:right w:w="100" w:type="dxa"/>
            </w:tcMar>
          </w:tcPr>
          <w:p w14:paraId="4029DB7E" w14:textId="77777777" w:rsidR="009C4CF0" w:rsidRDefault="00000000">
            <w:pPr>
              <w:jc w:val="center"/>
            </w:pPr>
            <w:r>
              <w:rPr>
                <w:b/>
                <w:bCs/>
                <w:color w:val="FFFFFF"/>
                <w:sz w:val="20"/>
                <w:szCs w:val="20"/>
              </w:rPr>
              <w:t>Households</w:t>
            </w:r>
          </w:p>
        </w:tc>
        <w:tc>
          <w:tcPr>
            <w:tcW w:w="2700" w:type="dxa"/>
            <w:shd w:val="clear" w:color="auto" w:fill="595959" w:themeFill="text1" w:themeFillTint="A6"/>
            <w:tcMar>
              <w:top w:w="80" w:type="dxa"/>
              <w:left w:w="100" w:type="dxa"/>
              <w:bottom w:w="80" w:type="dxa"/>
              <w:right w:w="100" w:type="dxa"/>
            </w:tcMar>
          </w:tcPr>
          <w:p w14:paraId="20D646CB" w14:textId="77777777" w:rsidR="009C4CF0" w:rsidRDefault="00000000">
            <w:pPr>
              <w:jc w:val="center"/>
            </w:pPr>
            <w:r>
              <w:rPr>
                <w:b/>
                <w:bCs/>
                <w:color w:val="FFFFFF"/>
                <w:sz w:val="20"/>
                <w:szCs w:val="20"/>
              </w:rPr>
              <w:t>Total 12-month CLV</w:t>
            </w:r>
          </w:p>
        </w:tc>
        <w:tc>
          <w:tcPr>
            <w:tcW w:w="2100" w:type="dxa"/>
            <w:shd w:val="clear" w:color="auto" w:fill="595959" w:themeFill="text1" w:themeFillTint="A6"/>
            <w:tcMar>
              <w:top w:w="80" w:type="dxa"/>
              <w:left w:w="100" w:type="dxa"/>
              <w:bottom w:w="80" w:type="dxa"/>
              <w:right w:w="100" w:type="dxa"/>
            </w:tcMar>
          </w:tcPr>
          <w:p w14:paraId="5766A14D" w14:textId="77777777" w:rsidR="009C4CF0" w:rsidRDefault="00000000">
            <w:pPr>
              <w:jc w:val="center"/>
            </w:pPr>
            <w:r>
              <w:rPr>
                <w:b/>
                <w:bCs/>
                <w:color w:val="FFFFFF"/>
                <w:sz w:val="20"/>
                <w:szCs w:val="20"/>
              </w:rPr>
              <w:t>Share of total CLV</w:t>
            </w:r>
          </w:p>
        </w:tc>
      </w:tr>
      <w:tr w:rsidR="009C4CF0" w14:paraId="2BEB4C3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7DA5E54" w14:textId="77777777" w:rsidR="009C4CF0" w:rsidRDefault="00000000">
            <w:r>
              <w:rPr>
                <w:sz w:val="20"/>
                <w:szCs w:val="20"/>
              </w:rPr>
              <w:t>Top 20%</w:t>
            </w:r>
          </w:p>
        </w:tc>
        <w:tc>
          <w:tcPr>
            <w:tcW w:w="2100" w:type="dxa"/>
            <w:shd w:val="clear" w:color="auto" w:fill="FFFFFF"/>
            <w:tcMar>
              <w:top w:w="80" w:type="dxa"/>
              <w:left w:w="100" w:type="dxa"/>
              <w:bottom w:w="80" w:type="dxa"/>
              <w:right w:w="100" w:type="dxa"/>
            </w:tcMar>
          </w:tcPr>
          <w:p w14:paraId="2F617C0E" w14:textId="77777777" w:rsidR="009C4CF0" w:rsidRDefault="00000000">
            <w:pPr>
              <w:jc w:val="center"/>
            </w:pPr>
            <w:r>
              <w:rPr>
                <w:sz w:val="20"/>
                <w:szCs w:val="20"/>
              </w:rPr>
              <w:t>500</w:t>
            </w:r>
          </w:p>
        </w:tc>
        <w:tc>
          <w:tcPr>
            <w:tcW w:w="2700" w:type="dxa"/>
            <w:shd w:val="clear" w:color="auto" w:fill="FFFFFF"/>
            <w:tcMar>
              <w:top w:w="80" w:type="dxa"/>
              <w:left w:w="100" w:type="dxa"/>
              <w:bottom w:w="80" w:type="dxa"/>
              <w:right w:w="100" w:type="dxa"/>
            </w:tcMar>
          </w:tcPr>
          <w:p w14:paraId="49E10020" w14:textId="77777777" w:rsidR="009C4CF0" w:rsidRDefault="00000000">
            <w:pPr>
              <w:jc w:val="center"/>
            </w:pPr>
            <w:r>
              <w:rPr>
                <w:sz w:val="20"/>
                <w:szCs w:val="20"/>
              </w:rPr>
              <w:t>$2,185,670</w:t>
            </w:r>
          </w:p>
        </w:tc>
        <w:tc>
          <w:tcPr>
            <w:tcW w:w="2100" w:type="dxa"/>
            <w:shd w:val="clear" w:color="auto" w:fill="FFFFFF"/>
            <w:tcMar>
              <w:top w:w="80" w:type="dxa"/>
              <w:left w:w="100" w:type="dxa"/>
              <w:bottom w:w="80" w:type="dxa"/>
              <w:right w:w="100" w:type="dxa"/>
            </w:tcMar>
          </w:tcPr>
          <w:p w14:paraId="57CE99B3" w14:textId="77777777" w:rsidR="009C4CF0" w:rsidRDefault="00000000">
            <w:pPr>
              <w:jc w:val="center"/>
            </w:pPr>
            <w:r>
              <w:rPr>
                <w:sz w:val="20"/>
                <w:szCs w:val="20"/>
              </w:rPr>
              <w:t>53.9%</w:t>
            </w:r>
          </w:p>
        </w:tc>
      </w:tr>
      <w:tr w:rsidR="009C4CF0" w14:paraId="62D45274" w14:textId="77777777">
        <w:tblPrEx>
          <w:tblCellMar>
            <w:top w:w="0" w:type="dxa"/>
            <w:bottom w:w="0" w:type="dxa"/>
          </w:tblCellMar>
        </w:tblPrEx>
        <w:tc>
          <w:tcPr>
            <w:tcW w:w="2600" w:type="dxa"/>
            <w:shd w:val="clear" w:color="auto" w:fill="F3F4F6"/>
            <w:tcMar>
              <w:top w:w="80" w:type="dxa"/>
              <w:left w:w="100" w:type="dxa"/>
              <w:bottom w:w="80" w:type="dxa"/>
              <w:right w:w="100" w:type="dxa"/>
            </w:tcMar>
          </w:tcPr>
          <w:p w14:paraId="7CD76178" w14:textId="77777777" w:rsidR="009C4CF0" w:rsidRDefault="00000000">
            <w:r>
              <w:rPr>
                <w:sz w:val="20"/>
                <w:szCs w:val="20"/>
              </w:rPr>
              <w:t>Mid 30% (50th–80th pct)</w:t>
            </w:r>
          </w:p>
        </w:tc>
        <w:tc>
          <w:tcPr>
            <w:tcW w:w="2100" w:type="dxa"/>
            <w:shd w:val="clear" w:color="auto" w:fill="F3F4F6"/>
            <w:tcMar>
              <w:top w:w="80" w:type="dxa"/>
              <w:left w:w="100" w:type="dxa"/>
              <w:bottom w:w="80" w:type="dxa"/>
              <w:right w:w="100" w:type="dxa"/>
            </w:tcMar>
          </w:tcPr>
          <w:p w14:paraId="6DC33F16" w14:textId="77777777" w:rsidR="009C4CF0" w:rsidRDefault="00000000">
            <w:pPr>
              <w:jc w:val="center"/>
            </w:pPr>
            <w:r>
              <w:rPr>
                <w:sz w:val="20"/>
                <w:szCs w:val="20"/>
              </w:rPr>
              <w:t>748</w:t>
            </w:r>
          </w:p>
        </w:tc>
        <w:tc>
          <w:tcPr>
            <w:tcW w:w="2700" w:type="dxa"/>
            <w:shd w:val="clear" w:color="auto" w:fill="F3F4F6"/>
            <w:tcMar>
              <w:top w:w="80" w:type="dxa"/>
              <w:left w:w="100" w:type="dxa"/>
              <w:bottom w:w="80" w:type="dxa"/>
              <w:right w:w="100" w:type="dxa"/>
            </w:tcMar>
          </w:tcPr>
          <w:p w14:paraId="765830FD" w14:textId="77777777" w:rsidR="009C4CF0" w:rsidRDefault="00000000">
            <w:pPr>
              <w:jc w:val="center"/>
            </w:pPr>
            <w:r>
              <w:rPr>
                <w:sz w:val="20"/>
                <w:szCs w:val="20"/>
              </w:rPr>
              <w:t>$1,266,507</w:t>
            </w:r>
          </w:p>
        </w:tc>
        <w:tc>
          <w:tcPr>
            <w:tcW w:w="2100" w:type="dxa"/>
            <w:shd w:val="clear" w:color="auto" w:fill="F3F4F6"/>
            <w:tcMar>
              <w:top w:w="80" w:type="dxa"/>
              <w:left w:w="100" w:type="dxa"/>
              <w:bottom w:w="80" w:type="dxa"/>
              <w:right w:w="100" w:type="dxa"/>
            </w:tcMar>
          </w:tcPr>
          <w:p w14:paraId="305C5FCF" w14:textId="77777777" w:rsidR="009C4CF0" w:rsidRDefault="00000000">
            <w:pPr>
              <w:jc w:val="center"/>
            </w:pPr>
            <w:r>
              <w:rPr>
                <w:sz w:val="20"/>
                <w:szCs w:val="20"/>
              </w:rPr>
              <w:t>31.3%</w:t>
            </w:r>
          </w:p>
        </w:tc>
      </w:tr>
      <w:tr w:rsidR="009C4CF0" w14:paraId="2DAFB3B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66C0635" w14:textId="77777777" w:rsidR="009C4CF0" w:rsidRDefault="00000000">
            <w:r>
              <w:rPr>
                <w:sz w:val="20"/>
                <w:szCs w:val="20"/>
              </w:rPr>
              <w:t>Bottom 50%</w:t>
            </w:r>
          </w:p>
        </w:tc>
        <w:tc>
          <w:tcPr>
            <w:tcW w:w="2100" w:type="dxa"/>
            <w:shd w:val="clear" w:color="auto" w:fill="FFFFFF"/>
            <w:tcMar>
              <w:top w:w="80" w:type="dxa"/>
              <w:left w:w="100" w:type="dxa"/>
              <w:bottom w:w="80" w:type="dxa"/>
              <w:right w:w="100" w:type="dxa"/>
            </w:tcMar>
          </w:tcPr>
          <w:p w14:paraId="7936DF77" w14:textId="77777777" w:rsidR="009C4CF0" w:rsidRDefault="00000000">
            <w:pPr>
              <w:jc w:val="center"/>
            </w:pPr>
            <w:r>
              <w:rPr>
                <w:sz w:val="20"/>
                <w:szCs w:val="20"/>
              </w:rPr>
              <w:t>1,249</w:t>
            </w:r>
          </w:p>
        </w:tc>
        <w:tc>
          <w:tcPr>
            <w:tcW w:w="2700" w:type="dxa"/>
            <w:shd w:val="clear" w:color="auto" w:fill="FFFFFF"/>
            <w:tcMar>
              <w:top w:w="80" w:type="dxa"/>
              <w:left w:w="100" w:type="dxa"/>
              <w:bottom w:w="80" w:type="dxa"/>
              <w:right w:w="100" w:type="dxa"/>
            </w:tcMar>
          </w:tcPr>
          <w:p w14:paraId="4927CB9F" w14:textId="77777777" w:rsidR="009C4CF0" w:rsidRDefault="00000000">
            <w:pPr>
              <w:jc w:val="center"/>
            </w:pPr>
            <w:r>
              <w:rPr>
                <w:sz w:val="20"/>
                <w:szCs w:val="20"/>
              </w:rPr>
              <w:t>$600,621</w:t>
            </w:r>
          </w:p>
        </w:tc>
        <w:tc>
          <w:tcPr>
            <w:tcW w:w="2100" w:type="dxa"/>
            <w:shd w:val="clear" w:color="auto" w:fill="FFFFFF"/>
            <w:tcMar>
              <w:top w:w="80" w:type="dxa"/>
              <w:left w:w="100" w:type="dxa"/>
              <w:bottom w:w="80" w:type="dxa"/>
              <w:right w:w="100" w:type="dxa"/>
            </w:tcMar>
          </w:tcPr>
          <w:p w14:paraId="16BB621D" w14:textId="77777777" w:rsidR="009C4CF0" w:rsidRDefault="00000000">
            <w:pPr>
              <w:jc w:val="center"/>
            </w:pPr>
            <w:r>
              <w:rPr>
                <w:sz w:val="20"/>
                <w:szCs w:val="20"/>
              </w:rPr>
              <w:t>14.8%</w:t>
            </w:r>
          </w:p>
        </w:tc>
      </w:tr>
      <w:tr w:rsidR="00B80F29" w:rsidRPr="00B80F29" w14:paraId="0106ADAA" w14:textId="77777777" w:rsidTr="00F7146D">
        <w:tblPrEx>
          <w:tblCellMar>
            <w:top w:w="0" w:type="dxa"/>
            <w:bottom w:w="0" w:type="dxa"/>
          </w:tblCellMar>
        </w:tblPrEx>
        <w:tc>
          <w:tcPr>
            <w:tcW w:w="2600" w:type="dxa"/>
            <w:shd w:val="clear" w:color="auto" w:fill="BFBFBF" w:themeFill="background1" w:themeFillShade="BF"/>
            <w:tcMar>
              <w:top w:w="80" w:type="dxa"/>
              <w:left w:w="100" w:type="dxa"/>
              <w:bottom w:w="80" w:type="dxa"/>
              <w:right w:w="100" w:type="dxa"/>
            </w:tcMar>
          </w:tcPr>
          <w:p w14:paraId="488E9B18" w14:textId="77777777" w:rsidR="009C4CF0" w:rsidRPr="00B80F29" w:rsidRDefault="00000000">
            <w:pPr>
              <w:rPr>
                <w:color w:val="auto"/>
              </w:rPr>
            </w:pPr>
            <w:r w:rsidRPr="00B80F29">
              <w:rPr>
                <w:b/>
                <w:bCs/>
                <w:color w:val="auto"/>
                <w:sz w:val="20"/>
                <w:szCs w:val="20"/>
              </w:rPr>
              <w:t>Total / Overall</w:t>
            </w:r>
          </w:p>
        </w:tc>
        <w:tc>
          <w:tcPr>
            <w:tcW w:w="2100" w:type="dxa"/>
            <w:shd w:val="clear" w:color="auto" w:fill="BFBFBF" w:themeFill="background1" w:themeFillShade="BF"/>
            <w:tcMar>
              <w:top w:w="80" w:type="dxa"/>
              <w:left w:w="100" w:type="dxa"/>
              <w:bottom w:w="80" w:type="dxa"/>
              <w:right w:w="100" w:type="dxa"/>
            </w:tcMar>
          </w:tcPr>
          <w:p w14:paraId="21E0CE39" w14:textId="77777777" w:rsidR="009C4CF0" w:rsidRPr="00B80F29" w:rsidRDefault="00000000">
            <w:pPr>
              <w:jc w:val="center"/>
              <w:rPr>
                <w:color w:val="auto"/>
              </w:rPr>
            </w:pPr>
            <w:r w:rsidRPr="00B80F29">
              <w:rPr>
                <w:color w:val="auto"/>
                <w:sz w:val="20"/>
                <w:szCs w:val="20"/>
              </w:rPr>
              <w:t>2,500</w:t>
            </w:r>
          </w:p>
        </w:tc>
        <w:tc>
          <w:tcPr>
            <w:tcW w:w="2700" w:type="dxa"/>
            <w:shd w:val="clear" w:color="auto" w:fill="BFBFBF" w:themeFill="background1" w:themeFillShade="BF"/>
            <w:tcMar>
              <w:top w:w="80" w:type="dxa"/>
              <w:left w:w="100" w:type="dxa"/>
              <w:bottom w:w="80" w:type="dxa"/>
              <w:right w:w="100" w:type="dxa"/>
            </w:tcMar>
          </w:tcPr>
          <w:p w14:paraId="485426C4" w14:textId="77777777" w:rsidR="009C4CF0" w:rsidRPr="00B80F29" w:rsidRDefault="00000000">
            <w:pPr>
              <w:jc w:val="center"/>
              <w:rPr>
                <w:color w:val="auto"/>
              </w:rPr>
            </w:pPr>
            <w:r w:rsidRPr="00B80F29">
              <w:rPr>
                <w:color w:val="auto"/>
                <w:sz w:val="20"/>
                <w:szCs w:val="20"/>
              </w:rPr>
              <w:t>$4,052,798</w:t>
            </w:r>
          </w:p>
        </w:tc>
        <w:tc>
          <w:tcPr>
            <w:tcW w:w="2100" w:type="dxa"/>
            <w:shd w:val="clear" w:color="auto" w:fill="BFBFBF" w:themeFill="background1" w:themeFillShade="BF"/>
            <w:tcMar>
              <w:top w:w="80" w:type="dxa"/>
              <w:left w:w="100" w:type="dxa"/>
              <w:bottom w:w="80" w:type="dxa"/>
              <w:right w:w="100" w:type="dxa"/>
            </w:tcMar>
          </w:tcPr>
          <w:p w14:paraId="5F6000AC" w14:textId="77777777" w:rsidR="009C4CF0" w:rsidRPr="00B80F29" w:rsidRDefault="00000000">
            <w:pPr>
              <w:jc w:val="center"/>
              <w:rPr>
                <w:color w:val="auto"/>
              </w:rPr>
            </w:pPr>
            <w:r w:rsidRPr="00B80F29">
              <w:rPr>
                <w:b/>
                <w:bCs/>
                <w:color w:val="auto"/>
                <w:sz w:val="20"/>
                <w:szCs w:val="20"/>
              </w:rPr>
              <w:t>100.0%</w:t>
            </w:r>
          </w:p>
        </w:tc>
      </w:tr>
    </w:tbl>
    <w:p w14:paraId="78410ACD" w14:textId="77777777" w:rsidR="009C4CF0" w:rsidRDefault="00000000">
      <w:pPr>
        <w:spacing w:before="260" w:after="100"/>
      </w:pPr>
      <w:r>
        <w:rPr>
          <w:b/>
          <w:bCs/>
          <w:color w:val="1F2A44"/>
        </w:rPr>
        <w:t>Campaign 18: before vs. after cleanup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900"/>
        <w:gridCol w:w="2800"/>
      </w:tblGrid>
      <w:tr w:rsidR="009C4CF0" w14:paraId="18C3B52B" w14:textId="77777777" w:rsidTr="00F7146D">
        <w:tblPrEx>
          <w:tblCellMar>
            <w:top w:w="0" w:type="dxa"/>
            <w:bottom w:w="0" w:type="dxa"/>
          </w:tblCellMar>
        </w:tblPrEx>
        <w:trPr>
          <w:tblHeader/>
        </w:trPr>
        <w:tc>
          <w:tcPr>
            <w:tcW w:w="3200" w:type="dxa"/>
            <w:shd w:val="clear" w:color="auto" w:fill="595959" w:themeFill="text1" w:themeFillTint="A6"/>
            <w:tcMar>
              <w:top w:w="80" w:type="dxa"/>
              <w:left w:w="100" w:type="dxa"/>
              <w:bottom w:w="80" w:type="dxa"/>
              <w:right w:w="100" w:type="dxa"/>
            </w:tcMar>
          </w:tcPr>
          <w:p w14:paraId="72485594" w14:textId="77777777" w:rsidR="009C4CF0" w:rsidRDefault="00000000">
            <w:r>
              <w:rPr>
                <w:b/>
                <w:bCs/>
                <w:color w:val="FFFFFF"/>
                <w:sz w:val="20"/>
                <w:szCs w:val="20"/>
              </w:rPr>
              <w:t>Version of the test</w:t>
            </w:r>
          </w:p>
        </w:tc>
        <w:tc>
          <w:tcPr>
            <w:tcW w:w="1600" w:type="dxa"/>
            <w:shd w:val="clear" w:color="auto" w:fill="595959" w:themeFill="text1" w:themeFillTint="A6"/>
            <w:tcMar>
              <w:top w:w="80" w:type="dxa"/>
              <w:left w:w="100" w:type="dxa"/>
              <w:bottom w:w="80" w:type="dxa"/>
              <w:right w:w="100" w:type="dxa"/>
            </w:tcMar>
          </w:tcPr>
          <w:p w14:paraId="5C0804ED" w14:textId="77777777" w:rsidR="009C4CF0" w:rsidRDefault="00000000">
            <w:pPr>
              <w:jc w:val="center"/>
            </w:pPr>
            <w:r>
              <w:rPr>
                <w:b/>
                <w:bCs/>
                <w:color w:val="FFFFFF"/>
                <w:sz w:val="20"/>
                <w:szCs w:val="20"/>
              </w:rPr>
              <w:t>Households</w:t>
            </w:r>
          </w:p>
        </w:tc>
        <w:tc>
          <w:tcPr>
            <w:tcW w:w="1900" w:type="dxa"/>
            <w:shd w:val="clear" w:color="auto" w:fill="595959" w:themeFill="text1" w:themeFillTint="A6"/>
            <w:tcMar>
              <w:top w:w="80" w:type="dxa"/>
              <w:left w:w="100" w:type="dxa"/>
              <w:bottom w:w="80" w:type="dxa"/>
              <w:right w:w="100" w:type="dxa"/>
            </w:tcMar>
          </w:tcPr>
          <w:p w14:paraId="3AB1E32C" w14:textId="77777777" w:rsidR="009C4CF0" w:rsidRDefault="00000000">
            <w:pPr>
              <w:jc w:val="center"/>
            </w:pPr>
            <w:r>
              <w:rPr>
                <w:b/>
                <w:bCs/>
                <w:color w:val="FFFFFF"/>
                <w:sz w:val="20"/>
                <w:szCs w:val="20"/>
              </w:rPr>
              <w:t>Effect / household</w:t>
            </w:r>
          </w:p>
        </w:tc>
        <w:tc>
          <w:tcPr>
            <w:tcW w:w="2800" w:type="dxa"/>
            <w:shd w:val="clear" w:color="auto" w:fill="595959" w:themeFill="text1" w:themeFillTint="A6"/>
            <w:tcMar>
              <w:top w:w="80" w:type="dxa"/>
              <w:left w:w="100" w:type="dxa"/>
              <w:bottom w:w="80" w:type="dxa"/>
              <w:right w:w="100" w:type="dxa"/>
            </w:tcMar>
          </w:tcPr>
          <w:p w14:paraId="5564D81D" w14:textId="77777777" w:rsidR="009C4CF0" w:rsidRDefault="00000000">
            <w:pPr>
              <w:jc w:val="center"/>
            </w:pPr>
            <w:r>
              <w:rPr>
                <w:b/>
                <w:bCs/>
                <w:color w:val="FFFFFF"/>
                <w:sz w:val="20"/>
                <w:szCs w:val="20"/>
              </w:rPr>
              <w:t>Verdict</w:t>
            </w:r>
          </w:p>
        </w:tc>
      </w:tr>
      <w:tr w:rsidR="009C4CF0" w14:paraId="6264D27B" w14:textId="77777777" w:rsidTr="00F7146D">
        <w:tblPrEx>
          <w:tblCellMar>
            <w:top w:w="0" w:type="dxa"/>
            <w:bottom w:w="0" w:type="dxa"/>
          </w:tblCellMar>
        </w:tblPrEx>
        <w:tc>
          <w:tcPr>
            <w:tcW w:w="3200" w:type="dxa"/>
            <w:shd w:val="clear" w:color="auto" w:fill="F2F2F2" w:themeFill="background1" w:themeFillShade="F2"/>
            <w:tcMar>
              <w:top w:w="80" w:type="dxa"/>
              <w:left w:w="100" w:type="dxa"/>
              <w:bottom w:w="80" w:type="dxa"/>
              <w:right w:w="100" w:type="dxa"/>
            </w:tcMar>
          </w:tcPr>
          <w:p w14:paraId="2709E3ED" w14:textId="77777777" w:rsidR="009C4CF0" w:rsidRDefault="00000000">
            <w:r>
              <w:rPr>
                <w:sz w:val="20"/>
                <w:szCs w:val="20"/>
              </w:rPr>
              <w:t>Before cleanup (quick check)</w:t>
            </w:r>
          </w:p>
        </w:tc>
        <w:tc>
          <w:tcPr>
            <w:tcW w:w="1600" w:type="dxa"/>
            <w:shd w:val="clear" w:color="auto" w:fill="F2F2F2" w:themeFill="background1" w:themeFillShade="F2"/>
            <w:tcMar>
              <w:top w:w="80" w:type="dxa"/>
              <w:left w:w="100" w:type="dxa"/>
              <w:bottom w:w="80" w:type="dxa"/>
              <w:right w:w="100" w:type="dxa"/>
            </w:tcMar>
          </w:tcPr>
          <w:p w14:paraId="4179C281" w14:textId="77777777" w:rsidR="009C4CF0" w:rsidRDefault="00000000">
            <w:pPr>
              <w:jc w:val="center"/>
            </w:pPr>
            <w:r>
              <w:rPr>
                <w:sz w:val="20"/>
                <w:szCs w:val="20"/>
              </w:rPr>
              <w:t>1,133</w:t>
            </w:r>
          </w:p>
        </w:tc>
        <w:tc>
          <w:tcPr>
            <w:tcW w:w="1900" w:type="dxa"/>
            <w:shd w:val="clear" w:color="auto" w:fill="F2F2F2" w:themeFill="background1" w:themeFillShade="F2"/>
            <w:tcMar>
              <w:top w:w="80" w:type="dxa"/>
              <w:left w:w="100" w:type="dxa"/>
              <w:bottom w:w="80" w:type="dxa"/>
              <w:right w:w="100" w:type="dxa"/>
            </w:tcMar>
          </w:tcPr>
          <w:p w14:paraId="7727ACAC" w14:textId="77777777" w:rsidR="009C4CF0" w:rsidRDefault="00000000">
            <w:pPr>
              <w:jc w:val="center"/>
            </w:pPr>
            <w:r w:rsidRPr="00F7146D">
              <w:rPr>
                <w:b/>
                <w:bCs/>
                <w:color w:val="auto"/>
                <w:sz w:val="20"/>
                <w:szCs w:val="20"/>
              </w:rPr>
              <w:t>+$17.52 (p = 0.017)</w:t>
            </w:r>
          </w:p>
        </w:tc>
        <w:tc>
          <w:tcPr>
            <w:tcW w:w="2800" w:type="dxa"/>
            <w:shd w:val="clear" w:color="auto" w:fill="F2F2F2" w:themeFill="background1" w:themeFillShade="F2"/>
            <w:tcMar>
              <w:top w:w="80" w:type="dxa"/>
              <w:left w:w="100" w:type="dxa"/>
              <w:bottom w:w="80" w:type="dxa"/>
              <w:right w:w="100" w:type="dxa"/>
            </w:tcMar>
          </w:tcPr>
          <w:p w14:paraId="48182C35" w14:textId="77777777" w:rsidR="009C4CF0" w:rsidRDefault="00000000">
            <w:r>
              <w:rPr>
                <w:color w:val="5B6472"/>
                <w:sz w:val="20"/>
                <w:szCs w:val="20"/>
              </w:rPr>
              <w:t>Looks significant, but comparison is contaminated</w:t>
            </w:r>
          </w:p>
        </w:tc>
      </w:tr>
      <w:tr w:rsidR="009C4CF0" w14:paraId="5DE5A000" w14:textId="77777777" w:rsidTr="00F7146D">
        <w:tblPrEx>
          <w:tblCellMar>
            <w:top w:w="0" w:type="dxa"/>
            <w:bottom w:w="0" w:type="dxa"/>
          </w:tblCellMar>
        </w:tblPrEx>
        <w:tc>
          <w:tcPr>
            <w:tcW w:w="3200" w:type="dxa"/>
            <w:shd w:val="clear" w:color="auto" w:fill="F2F2F2" w:themeFill="background1" w:themeFillShade="F2"/>
            <w:tcMar>
              <w:top w:w="80" w:type="dxa"/>
              <w:left w:w="100" w:type="dxa"/>
              <w:bottom w:w="80" w:type="dxa"/>
              <w:right w:w="100" w:type="dxa"/>
            </w:tcMar>
          </w:tcPr>
          <w:p w14:paraId="50EBA1BB" w14:textId="77777777" w:rsidR="009C4CF0" w:rsidRDefault="00000000">
            <w:r>
              <w:rPr>
                <w:sz w:val="20"/>
                <w:szCs w:val="20"/>
              </w:rPr>
              <w:t>After cleanup (Campaign 18 only)</w:t>
            </w:r>
          </w:p>
        </w:tc>
        <w:tc>
          <w:tcPr>
            <w:tcW w:w="1600" w:type="dxa"/>
            <w:shd w:val="clear" w:color="auto" w:fill="F2F2F2" w:themeFill="background1" w:themeFillShade="F2"/>
            <w:tcMar>
              <w:top w:w="80" w:type="dxa"/>
              <w:left w:w="100" w:type="dxa"/>
              <w:bottom w:w="80" w:type="dxa"/>
              <w:right w:w="100" w:type="dxa"/>
            </w:tcMar>
          </w:tcPr>
          <w:p w14:paraId="7AA87618" w14:textId="77777777" w:rsidR="009C4CF0" w:rsidRDefault="00000000">
            <w:pPr>
              <w:jc w:val="center"/>
            </w:pPr>
            <w:r>
              <w:rPr>
                <w:sz w:val="20"/>
                <w:szCs w:val="20"/>
              </w:rPr>
              <w:t>165</w:t>
            </w:r>
          </w:p>
        </w:tc>
        <w:tc>
          <w:tcPr>
            <w:tcW w:w="1900" w:type="dxa"/>
            <w:shd w:val="clear" w:color="auto" w:fill="F2F2F2" w:themeFill="background1" w:themeFillShade="F2"/>
            <w:tcMar>
              <w:top w:w="80" w:type="dxa"/>
              <w:left w:w="100" w:type="dxa"/>
              <w:bottom w:w="80" w:type="dxa"/>
              <w:right w:w="100" w:type="dxa"/>
            </w:tcMar>
          </w:tcPr>
          <w:p w14:paraId="2BC77DE4" w14:textId="77777777" w:rsidR="009C4CF0" w:rsidRPr="00F7146D" w:rsidRDefault="00000000">
            <w:pPr>
              <w:jc w:val="center"/>
              <w:rPr>
                <w:color w:val="auto"/>
              </w:rPr>
            </w:pPr>
            <w:r w:rsidRPr="00F7146D">
              <w:rPr>
                <w:b/>
                <w:bCs/>
                <w:color w:val="auto"/>
                <w:sz w:val="20"/>
                <w:szCs w:val="20"/>
              </w:rPr>
              <w:t>−$1.87 (p = 0.896)</w:t>
            </w:r>
          </w:p>
        </w:tc>
        <w:tc>
          <w:tcPr>
            <w:tcW w:w="2800" w:type="dxa"/>
            <w:shd w:val="clear" w:color="auto" w:fill="F2F2F2" w:themeFill="background1" w:themeFillShade="F2"/>
            <w:tcMar>
              <w:top w:w="80" w:type="dxa"/>
              <w:left w:w="100" w:type="dxa"/>
              <w:bottom w:w="80" w:type="dxa"/>
              <w:right w:w="100" w:type="dxa"/>
            </w:tcMar>
          </w:tcPr>
          <w:p w14:paraId="1F356162" w14:textId="77777777" w:rsidR="009C4CF0" w:rsidRDefault="00000000">
            <w:r>
              <w:rPr>
                <w:color w:val="5B6472"/>
                <w:sz w:val="20"/>
                <w:szCs w:val="20"/>
              </w:rPr>
              <w:t>Not significant – the honest result</w:t>
            </w:r>
          </w:p>
        </w:tc>
      </w:tr>
    </w:tbl>
    <w:p w14:paraId="4D381111" w14:textId="77777777" w:rsidR="009C4CF0" w:rsidRDefault="00000000" w:rsidP="00A82BED">
      <w:pPr>
        <w:pStyle w:val="Heading1"/>
        <w:pBdr>
          <w:bottom w:val="single" w:sz="6" w:space="5" w:color="auto"/>
        </w:pBdr>
        <w:spacing w:before="360" w:after="160"/>
      </w:pPr>
      <w:r>
        <w:rPr>
          <w:b/>
          <w:bCs/>
          <w:color w:val="1F2A44"/>
          <w:sz w:val="28"/>
          <w:szCs w:val="28"/>
        </w:rPr>
        <w:t>Business Recommendations</w:t>
      </w:r>
    </w:p>
    <w:p w14:paraId="7AF396AF" w14:textId="77777777" w:rsidR="009C4CF0" w:rsidRDefault="00000000">
      <w:pPr>
        <w:pStyle w:val="ListParagraph"/>
        <w:numPr>
          <w:ilvl w:val="0"/>
          <w:numId w:val="1"/>
        </w:numPr>
        <w:spacing w:after="90" w:line="280" w:lineRule="auto"/>
      </w:pPr>
      <w:r>
        <w:t>Prioritize retention and loyalty investment on the top 20% CLV tier. This smaller group of 500 households accounts for more than half of all expected future spending, so it carries the greatest financial upside.</w:t>
      </w:r>
    </w:p>
    <w:p w14:paraId="6DE8ABC9" w14:textId="77777777" w:rsidR="009C4CF0" w:rsidRDefault="00000000">
      <w:pPr>
        <w:pStyle w:val="ListParagraph"/>
        <w:numPr>
          <w:ilvl w:val="0"/>
          <w:numId w:val="1"/>
        </w:numPr>
        <w:spacing w:after="90" w:line="280" w:lineRule="auto"/>
      </w:pPr>
      <w:r>
        <w:t>Do not credit Campaign 18 with driving incremental sales. The properly isolated test shows no statistically meaningful effect, so continuing to fund it on the assumption that it works is not supported by the data.</w:t>
      </w:r>
    </w:p>
    <w:p w14:paraId="121333BC" w14:textId="77777777" w:rsidR="009C4CF0" w:rsidRDefault="00000000">
      <w:pPr>
        <w:pStyle w:val="ListParagraph"/>
        <w:numPr>
          <w:ilvl w:val="0"/>
          <w:numId w:val="1"/>
        </w:numPr>
        <w:spacing w:after="90" w:line="280" w:lineRule="auto"/>
      </w:pPr>
      <w:r>
        <w:lastRenderedPageBreak/>
        <w:t>Pause and reconsider Campaign 18's design, targeting, or budget before running it again in its current form.</w:t>
      </w:r>
    </w:p>
    <w:p w14:paraId="05B47490" w14:textId="77777777" w:rsidR="009C4CF0" w:rsidRDefault="00000000">
      <w:pPr>
        <w:pStyle w:val="ListParagraph"/>
        <w:numPr>
          <w:ilvl w:val="0"/>
          <w:numId w:val="1"/>
        </w:numPr>
        <w:spacing w:after="90" w:line="280" w:lineRule="auto"/>
      </w:pPr>
      <w:r>
        <w:t>Before spending further on a similar campaign, run it with a true randomized holdout group built in from the start. This is the only way to obtain a fully unambiguous, gold-standard causal estimate; the method used in this analysis is the strongest approach available for historical data that was never randomized.</w:t>
      </w:r>
    </w:p>
    <w:p w14:paraId="76E873CD" w14:textId="77777777" w:rsidR="009C4CF0" w:rsidRDefault="00000000" w:rsidP="00A82BED">
      <w:pPr>
        <w:pStyle w:val="Heading1"/>
        <w:pBdr>
          <w:bottom w:val="single" w:sz="6" w:space="4" w:color="auto"/>
        </w:pBdr>
        <w:spacing w:before="360" w:after="160"/>
      </w:pPr>
      <w:r>
        <w:rPr>
          <w:b/>
          <w:bCs/>
          <w:color w:val="1F2A44"/>
          <w:sz w:val="28"/>
          <w:szCs w:val="28"/>
        </w:rPr>
        <w:t>Limitations &amp; Next Steps</w:t>
      </w:r>
    </w:p>
    <w:p w14:paraId="4EAF8837" w14:textId="77777777" w:rsidR="009C4CF0" w:rsidRDefault="00000000">
      <w:pPr>
        <w:spacing w:after="160" w:line="300" w:lineRule="auto"/>
      </w:pPr>
      <w:r>
        <w:t>This analysis works from historical, observational data, no randomized control group was built into Campaign 18 when it was originally sent, so the Difference-in-Differences design relies on the assumption that the treated and control households would have followed similar spending trends in the absence of the campaign. The robustness check (isolating a clean, non-overlapping subgroup) is the strongest available safeguard against this, but a genuine randomized experiment remains the definitive way to confirm a campaign's causal effect going forward.</w:t>
      </w:r>
    </w:p>
    <w:p w14:paraId="3F0992DA" w14:textId="77777777" w:rsidR="009C4CF0" w:rsidRDefault="00000000">
      <w:pPr>
        <w:spacing w:after="160" w:line="300" w:lineRule="auto"/>
      </w:pPr>
      <w:r>
        <w:t>CLV forecasts are probabilistic estimates based on 24 months of historical purchase behavior, not guarantees, and should be refreshed periodically as new transaction data becomes available.</w:t>
      </w:r>
    </w:p>
    <w:p w14:paraId="6D538C1C" w14:textId="77777777" w:rsidR="009C4CF0" w:rsidRDefault="00000000" w:rsidP="00A82BED">
      <w:pPr>
        <w:pStyle w:val="Heading1"/>
        <w:pBdr>
          <w:bottom w:val="single" w:sz="6" w:space="4" w:color="auto"/>
        </w:pBdr>
        <w:spacing w:before="360" w:after="160"/>
      </w:pPr>
      <w:r>
        <w:rPr>
          <w:b/>
          <w:bCs/>
          <w:color w:val="1F2A44"/>
          <w:sz w:val="28"/>
          <w:szCs w:val="28"/>
        </w:rPr>
        <w:t>Tools &amp; Methods</w:t>
      </w:r>
    </w:p>
    <w:p w14:paraId="393302FC" w14:textId="77777777" w:rsidR="009C4CF0" w:rsidRDefault="00000000">
      <w:pPr>
        <w:pStyle w:val="ListParagraph"/>
        <w:numPr>
          <w:ilvl w:val="0"/>
          <w:numId w:val="1"/>
        </w:numPr>
        <w:spacing w:after="90" w:line="280" w:lineRule="auto"/>
      </w:pPr>
      <w:r>
        <w:t xml:space="preserve">Python (pandas, lifetimes, </w:t>
      </w:r>
      <w:proofErr w:type="spellStart"/>
      <w:r>
        <w:t>statsmodels</w:t>
      </w:r>
      <w:proofErr w:type="spellEnd"/>
      <w:r>
        <w:t>) – data processing, CLV modeling, and causal regression</w:t>
      </w:r>
    </w:p>
    <w:p w14:paraId="75065E47" w14:textId="77777777" w:rsidR="009C4CF0" w:rsidRDefault="00000000">
      <w:pPr>
        <w:pStyle w:val="ListParagraph"/>
        <w:numPr>
          <w:ilvl w:val="0"/>
          <w:numId w:val="1"/>
        </w:numPr>
        <w:spacing w:after="90" w:line="280" w:lineRule="auto"/>
      </w:pPr>
      <w:r>
        <w:t>SQL (PostgreSQL) – schema design, data loading, and verification queries</w:t>
      </w:r>
    </w:p>
    <w:p w14:paraId="105BB6BE" w14:textId="77777777" w:rsidR="009C4CF0" w:rsidRDefault="00000000">
      <w:pPr>
        <w:pStyle w:val="ListParagraph"/>
        <w:numPr>
          <w:ilvl w:val="0"/>
          <w:numId w:val="1"/>
        </w:numPr>
        <w:spacing w:after="90" w:line="280" w:lineRule="auto"/>
      </w:pPr>
      <w:r>
        <w:t>Power BI – interactive dashboard with dynamic filtering by test version</w:t>
      </w:r>
    </w:p>
    <w:p w14:paraId="297E4EB2" w14:textId="77777777" w:rsidR="009C4CF0" w:rsidRDefault="00000000">
      <w:pPr>
        <w:pStyle w:val="ListParagraph"/>
        <w:numPr>
          <w:ilvl w:val="0"/>
          <w:numId w:val="1"/>
        </w:numPr>
        <w:spacing w:after="90" w:line="280" w:lineRule="auto"/>
      </w:pPr>
      <w:r>
        <w:t>Statistical methods – BG/NBD, Gamma-Gamma, Difference-in-Differences with clustered standard errors</w:t>
      </w:r>
    </w:p>
    <w:sectPr w:rsidR="009C4CF0">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53216"/>
    <w:multiLevelType w:val="hybridMultilevel"/>
    <w:tmpl w:val="5D726D4E"/>
    <w:lvl w:ilvl="0" w:tplc="E926F07A">
      <w:start w:val="1"/>
      <w:numFmt w:val="bullet"/>
      <w:lvlText w:val="●"/>
      <w:lvlJc w:val="left"/>
      <w:pPr>
        <w:ind w:left="720" w:hanging="360"/>
      </w:pPr>
    </w:lvl>
    <w:lvl w:ilvl="1" w:tplc="25BC160C">
      <w:start w:val="1"/>
      <w:numFmt w:val="bullet"/>
      <w:lvlText w:val="○"/>
      <w:lvlJc w:val="left"/>
      <w:pPr>
        <w:ind w:left="1440" w:hanging="360"/>
      </w:pPr>
    </w:lvl>
    <w:lvl w:ilvl="2" w:tplc="4A5C4038">
      <w:start w:val="1"/>
      <w:numFmt w:val="bullet"/>
      <w:lvlText w:val="■"/>
      <w:lvlJc w:val="left"/>
      <w:pPr>
        <w:ind w:left="2160" w:hanging="360"/>
      </w:pPr>
    </w:lvl>
    <w:lvl w:ilvl="3" w:tplc="0DB05C26">
      <w:start w:val="1"/>
      <w:numFmt w:val="bullet"/>
      <w:lvlText w:val="●"/>
      <w:lvlJc w:val="left"/>
      <w:pPr>
        <w:ind w:left="2880" w:hanging="360"/>
      </w:pPr>
    </w:lvl>
    <w:lvl w:ilvl="4" w:tplc="84FACA40">
      <w:start w:val="1"/>
      <w:numFmt w:val="bullet"/>
      <w:lvlText w:val="○"/>
      <w:lvlJc w:val="left"/>
      <w:pPr>
        <w:ind w:left="3600" w:hanging="360"/>
      </w:pPr>
    </w:lvl>
    <w:lvl w:ilvl="5" w:tplc="A8AC6D90">
      <w:start w:val="1"/>
      <w:numFmt w:val="bullet"/>
      <w:lvlText w:val="■"/>
      <w:lvlJc w:val="left"/>
      <w:pPr>
        <w:ind w:left="4320" w:hanging="360"/>
      </w:pPr>
    </w:lvl>
    <w:lvl w:ilvl="6" w:tplc="A8126CDC">
      <w:start w:val="1"/>
      <w:numFmt w:val="bullet"/>
      <w:lvlText w:val="●"/>
      <w:lvlJc w:val="left"/>
      <w:pPr>
        <w:ind w:left="5040" w:hanging="360"/>
      </w:pPr>
    </w:lvl>
    <w:lvl w:ilvl="7" w:tplc="C1FC54AE">
      <w:start w:val="1"/>
      <w:numFmt w:val="bullet"/>
      <w:lvlText w:val="●"/>
      <w:lvlJc w:val="left"/>
      <w:pPr>
        <w:ind w:left="5760" w:hanging="360"/>
      </w:pPr>
    </w:lvl>
    <w:lvl w:ilvl="8" w:tplc="E902B4BE">
      <w:start w:val="1"/>
      <w:numFmt w:val="bullet"/>
      <w:lvlText w:val="●"/>
      <w:lvlJc w:val="left"/>
      <w:pPr>
        <w:ind w:left="6480" w:hanging="360"/>
      </w:pPr>
    </w:lvl>
  </w:abstractNum>
  <w:num w:numId="1" w16cid:durableId="1029838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CF0"/>
    <w:rsid w:val="001B5E5B"/>
    <w:rsid w:val="005F3B33"/>
    <w:rsid w:val="00826620"/>
    <w:rsid w:val="009C4CF0"/>
    <w:rsid w:val="00A82BED"/>
    <w:rsid w:val="00B80F29"/>
    <w:rsid w:val="00F7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3B87"/>
  <w15:docId w15:val="{7BB1735F-8C42-4C14-80AF-FCED9A2B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82BED"/>
    <w:pPr>
      <w:outlineLvl w:val="0"/>
    </w:pPr>
    <w:rPr>
      <w:color w:val="000000" w:themeColor="text1"/>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82BED"/>
    <w:rPr>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Kotturi (24517728)</cp:lastModifiedBy>
  <cp:revision>5</cp:revision>
  <dcterms:created xsi:type="dcterms:W3CDTF">2026-09-09T12:58:00Z</dcterms:created>
  <dcterms:modified xsi:type="dcterms:W3CDTF">2026-09-09T13:19:00Z</dcterms:modified>
</cp:coreProperties>
</file>