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B3A5C"/>
          <w:sz w:val="22"/>
          <w:szCs w:val="22"/>
        </w:rPr>
        <w:t xml:space="preserve">DIGITAL HOUSE COMPANY</w:t>
      </w:r>
    </w:p>
    <w:p>
      <w:pPr>
        <w:spacing w:after="320"/>
      </w:pPr>
      <w:r>
        <w:rPr>
          <w:color w:val="55555F"/>
          <w:sz w:val="20"/>
          <w:szCs w:val="20"/>
        </w:rPr>
        <w:t xml:space="preserve">Document de référence — Formation testeurs fonctionnels</w:t>
      </w:r>
    </w:p>
    <w:p>
      <w:pPr>
        <w:pStyle w:val="Title"/>
        <w:spacing w:after="200"/>
      </w:pPr>
      <w:r>
        <w:rPr>
          <w:color w:val="1B3A5C"/>
        </w:rPr>
        <w:t xml:space="preserve">Cartographie des documents de test</w:t>
      </w:r>
    </w:p>
    <w:p>
      <w:pPr>
        <w:spacing w:after="400"/>
      </w:pPr>
      <w:r>
        <w:rPr>
          <w:i/>
          <w:iCs/>
          <w:color w:val="55555F"/>
          <w:sz w:val="24"/>
          <w:szCs w:val="24"/>
        </w:rPr>
        <w:t xml:space="preserve">Du cahier des charges à la livraison — qui produit quoi, quand, et ce que l'IA générative peut y apporter</w:t>
      </w:r>
    </w:p>
    <w:p>
      <w:pPr>
        <w:pBdr>
          <w:bottom w:val="single" w:color="1B3A5C" w:sz="6" w:space="1"/>
        </w:pBdr>
        <w:spacing w:after="200" w:before="200"/>
      </w:pPr>
      <w:r>
        <w:t xml:space="preserve"/>
      </w:r>
    </w:p>
    <w:p>
      <w:pPr>
        <w:spacing w:after="160"/>
      </w:pPr>
      <w:r>
        <w:t xml:space="preserve">Ce document recense, phase par phase, l'ensemble des documents qu'un testeur fonctionnel (ou l'équipe de test élargie) est amené à produire ou à consulter au cours d'un projet logiciel — du cadrage initial à la clôture après livraison.</w:t>
      </w:r>
    </w:p>
    <w:p>
      <w:pPr>
        <w:spacing w:after="160"/>
      </w:pPr>
      <w:r>
        <w:t xml:space="preserve">La structure suit la norme IEEE 829 (Standard for Software and System Test Documentation), le référentiel historique encore très utilisé comme grille de lecture aujourd'hui — y compris dans des organisations qui appliquent en pratique ISO/IEC/IEEE 29119, son successeur. Le vocabulaire ISTQB (Foundation Level et Test Management) est utilisé en parallèle, car c'est celui que les testeurs francophones rencontrent le plus souvent en formation et en entreprise.</w:t>
      </w:r>
    </w:p>
    <w:p>
      <w:pPr>
        <w:pBdr>
          <w:left w:val="single" w:color="C9A227" w:sz="18" w:space="8"/>
        </w:pBdr>
        <w:shd w:fill="FBF8EF" w:val="clear"/>
        <w:spacing w:after="240" w:before="120"/>
      </w:pPr>
      <w:r>
        <w:rPr>
          <w:i/>
          <w:iCs/>
          <w:color w:val="55555F"/>
          <w:sz w:val="20"/>
          <w:szCs w:val="20"/>
        </w:rPr>
        <w:t xml:space="preserve">Toutes les organisations ne produisent pas tous ces documents pour tous les projets : la rigueur documentaire se calibre selon la taille, la criticité et la méthodologie (cycle en V, Agile, mixte). Ce document liste l'éventail complet ; à chacun d'en retenir le sous-ensemble pertinent pour son contexte.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Vue d'ensemble : 3 grandes phases, 1 fil conducteur</w:t>
      </w:r>
    </w:p>
    <w:p>
      <w:pPr>
        <w:spacing w:after="160"/>
      </w:pPr>
      <w:r>
        <w:t xml:space="preserve">La norme IEEE 829 distingue trois grandes phases dans un projet de test :</w:t>
      </w:r>
    </w:p>
    <w:p>
      <w:pPr>
        <w:pStyle w:val="ListParagraph"/>
        <w:numPr>
          <w:ilvl w:val="0"/>
          <w:numId w:val="2"/>
        </w:numPr>
        <w:spacing w:after="80"/>
      </w:pPr>
      <w:r>
        <w:t xml:space="preserve">A. Préparation des tests — on planifie, on conçoit, on écrit les cas de test, avant toute exécution.</w:t>
      </w:r>
    </w:p>
    <w:p>
      <w:pPr>
        <w:pStyle w:val="ListParagraph"/>
        <w:numPr>
          <w:ilvl w:val="0"/>
          <w:numId w:val="2"/>
        </w:numPr>
        <w:spacing w:after="80"/>
      </w:pPr>
      <w:r>
        <w:t xml:space="preserve">B. Exécution des tests — on déroule les tests, on consigne les résultats, on remonte les anomalies.</w:t>
      </w:r>
    </w:p>
    <w:p>
      <w:pPr>
        <w:pStyle w:val="ListParagraph"/>
        <w:numPr>
          <w:ilvl w:val="0"/>
          <w:numId w:val="2"/>
        </w:numPr>
        <w:spacing w:after="80"/>
      </w:pPr>
      <w:r>
        <w:t xml:space="preserve">C. Clôture des tests — on synthétise, on évalue, on transmet, on capitalise pour le projet suivant.</w:t>
      </w:r>
    </w:p>
    <w:p>
      <w:pPr>
        <w:spacing w:after="160"/>
      </w:pPr>
      <w:r>
        <w:t xml:space="preserve">Ce document ajoute une phase 0, en amont, qui n'appartient pas formellement à IEEE 829 mais que tout testeur fonctionnel rencontre en réalité : le cadrage et l'analyse des besoins, point de départ de toute la chaîne de traçabilité.</w:t>
      </w:r>
    </w:p>
    <w:p>
      <w:pPr>
        <w:spacing w:after="160"/>
      </w:pPr>
      <w:r>
        <w:t xml:space="preserve">Chaque document listé porte, autant que possible, son nom usuel en français, son équivalent dans la norme entre parenthèses, le rôle qui le produit en priorité (un testeur isolé porte souvent plusieurs rôles à la fois sur un petit projet), le moment où il apparaît dans le cycle, et une piste concrète sur ce que l'IA générative peut y apporter — toujours sous relecture humaine.</w:t>
      </w:r>
    </w:p>
    <w:p>
      <w:pPr>
        <w:pBdr>
          <w:bottom w:val="single" w:color="1B3A5C" w:sz="6" w:space="1"/>
        </w:pBdr>
        <w:spacing w:after="200" w:before="200"/>
      </w:pPr>
      <w:r>
        <w:t xml:space="preserve"/>
      </w:r>
    </w:p>
    <w:p>
      <w:pPr>
        <w:pStyle w:val="Heading1"/>
      </w:pPr>
      <w:r>
        <w:t xml:space="preserve">Phase 0 — Cadrage et analyse des besoins</w:t>
      </w:r>
    </w:p>
    <w:p>
      <w:pPr>
        <w:spacing w:after="160"/>
      </w:pPr>
      <w:r>
        <w:t xml:space="preserve">Cette phase précède la mise en place du test à proprement parler, mais conditionne tout ce qui suit : sans expression de besoin claire, aucune stratégie de test ne peut être bâtie sur des bases solides.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1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Document produit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Qui le produit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Quand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Apport possible de l'IA générative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Cahier des charges / Spécifications fonctionnelles (SRS)</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Maîtrise d'ouvrage, Product Owner — relu et challengé par le testeur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Avant le développement</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Détection d'ambiguïtés, de besoins implicites manquants, de contradictions entre sections.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User stories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Product Owner, avec contribution du testeur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En continu (sprints)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Génération de formulations standardisées (« En tant que... je veux... afin de... »), suggestion de critères manquants.</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Critères d'acceptation (format Gherkin)</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Testeur, avec le Product Owner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Dès la user story rédigée</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Génération de scénarios Étant donné/Quand/Alors à partir d'une user story en langage naturel.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Matrice de traçabilité — version initiale (RTM)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Testeur / Test Analyst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Dès les premières exigences stabilisées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Pré-remplissage du lien exigence → critère d'acceptation, repérage des exigences sans aucun test associé.</w:t>
            </w:r>
          </w:p>
        </w:tc>
      </w:tr>
    </w:tbl>
    <w:p>
      <w:r>
        <w:br w:type="page"/>
      </w:r>
    </w:p>
    <w:p>
      <w:pPr>
        <w:pStyle w:val="Heading1"/>
      </w:pPr>
      <w:r>
        <w:t xml:space="preserve">Phase A — Préparation des tests</w:t>
      </w:r>
    </w:p>
    <w:p>
      <w:pPr>
        <w:spacing w:after="160"/>
      </w:pPr>
      <w:r>
        <w:t xml:space="preserve">Trois niveaux de planification s'empilent : la stratégie (le cadre général, valable pour plusieurs projets), le plan (la déclinaison pour ce projet précis), puis la conception détaillée des tests eux-mêmes.</w:t>
      </w:r>
    </w:p>
    <w:p>
      <w:pPr>
        <w:pStyle w:val="Heading2"/>
      </w:pPr>
      <w:r>
        <w:t xml:space="preserve">A.1 — Documents de pilotage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1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Document produit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Qui le produit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Quand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Apport possible de l'IA générative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Stratégie de test (Test Strategy)</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Manager / responsable QA</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Une fois, au niveau organisation ou programme</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Synthèse des risques produit à partir de l'historique de bugs, proposition de niveaux de couverture par criticité.</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Plan de test (Test Plan, structure IEEE 829)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 Manager / Test Lead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Au lancement du projet, mis à jour en continu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Génération d'un squelette de plan conforme IEEE 829 à partir du cahier des charges ; suggestion de critères d'entrée/sortie.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Analyse et évaluation des risques qualité</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Manager, avec l'équipe projet</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Au lancement, revue à chaque jalon</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Identification de zones à risque à partir de la complexité du code ou de l'historique d'incidents.</w:t>
            </w:r>
          </w:p>
        </w:tc>
      </w:tr>
    </w:tbl>
    <w:p>
      <w:pPr>
        <w:pStyle w:val="Heading2"/>
      </w:pPr>
      <w:r>
        <w:t xml:space="preserve">A.2 — Documents de conception des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1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Document produit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Qui le produit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Quand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Apport possible de l'IA générative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Spécification de conception des tests (Test Design Specification)</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Analyst</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Après stabilisation des exigences d'un lot</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Proposition de conditions de test par technique (partitions, valeurs limites, table de décision) à partir d'une exigence.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Spécification des cas de test (Test Case Specification)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En continu, lot par lot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Génération de cas de test détaillés (entrées, préconditions, résultats attendus) à partir d'une condition de test.</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Spécification des procédures de test (Test Procedure Specification)</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Testeur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Avant l'exécution</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Mise en séquence de cas de test en un scénario d'exécution cohérent, avec jalons de configuration.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Jeux de données de 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Testeur, parfois avec le DBA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Avant l'exécution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Génération de jeux de données synthétiques réalistes et anonymisés couvrant les cas limites.</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Rapport de transmission des éléments de test (Test Item Transmittal Report)</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Développeur / Release Manager → Testeur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À chaque livraison de build</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Synthèse automatique d'un changelog technique en langage clair pour l'équipe de test.</w:t>
            </w:r>
          </w:p>
        </w:tc>
      </w:tr>
    </w:tbl>
    <w:p>
      <w:r>
        <w:br w:type="page"/>
      </w:r>
    </w:p>
    <w:p>
      <w:pPr>
        <w:pStyle w:val="Heading1"/>
      </w:pPr>
      <w:r>
        <w:t xml:space="preserve">Phase B — Exécution des tests</w:t>
      </w:r>
    </w:p>
    <w:p>
      <w:pPr>
        <w:spacing w:after="160"/>
      </w:pPr>
      <w:r>
        <w:t xml:space="preserve">Cette phase produit la matière première de tout le reporting qui suivra : ce qui a été exécuté, ce qui a réussi, ce qui a échoué, et pourquoi.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1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Document produit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Qui le produit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Quand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Apport possible de l'IA générative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Journal de test (Test Log)</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Testeur (souvent généré par l'outil de gestion de tests)</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Pendant chaque session d'exécution</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Synthèse lisible d'un journal brut volumineux ; regroupement des échecs par cause probable.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Rapport d'anomalie / Fiche de bug (Test Incident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Dès qu'un écart est constaté</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Rédaction structurée (titre, repro, attendu/obtenu, sévérité) à partir d'une observation informelle.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Rapport de statut intermédiaire (Interim Test Status Report)</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Manager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À fréquence régulière (quotidienne/hebdo)</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Génération d'un résumé exécutif chiffré (avancement, anomalies ouvertes/fermées) pour les parties prenantes non techniques.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Rapport d'exécution automatisée (CI/CD)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Pipeline d'intégration continue, relu par le testeur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À chaque exécution automatisée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Analyse de la cause racine d'un échec (flaky test, régression réelle, environnement) et proposition de correctif.</w:t>
            </w:r>
          </w:p>
        </w:tc>
      </w:tr>
    </w:tbl>
    <w:p>
      <w:r>
        <w:br w:type="page"/>
      </w:r>
    </w:p>
    <w:p>
      <w:pPr>
        <w:pStyle w:val="Heading1"/>
      </w:pPr>
      <w:r>
        <w:t xml:space="preserve">Phase C — Clôture des tests et livraison</w:t>
      </w:r>
    </w:p>
    <w:p>
      <w:pPr>
        <w:spacing w:after="160"/>
      </w:pPr>
      <w:r>
        <w:t xml:space="preserve">La dernière phase transforme l'ensemble de la matière collectée en une décision : peut-on livrer, et avec quelles réserves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160"/>
      </w:tblGrid>
      <w:tr>
        <w:trPr>
          <w:tblHeader/>
        </w:trP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Document produit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Qui le produit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Quand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b/>
                <w:bCs/>
                <w:color w:val="FFFFFF"/>
                <w:sz w:val="18"/>
                <w:szCs w:val="18"/>
              </w:rPr>
              <w:t xml:space="preserve">Apport possible de l'IA générative</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Matrice de traçabilité finale (RTM)</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Lead / Test Analyst</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Avant la recette finale</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Vérification automatisée qu'aucune exigence ne reste sans test associé, ni sans résultat d'exécution.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Rapport de synthèse des tests (Test Summary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À la fin de chaque cycle de test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Rédaction d'une synthèse executive (couverture, anomalies, recommandation go/no-go) à partir des données brutes.</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Procès-verbal de recette / UAT sign-off</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Product Owner / client, avec le testeur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Lors de la recette utilisateur</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Génération du script de recette à dérouler, et mise en forme du PV à partir des résultats.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6161B"/>
                <w:sz w:val="18"/>
                <w:szCs w:val="18"/>
              </w:rPr>
              <w:t xml:space="preserve">Rapport de clôture des tests (Test Closure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Test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En fin de projet ou de release majeure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6161B"/>
                <w:sz w:val="18"/>
                <w:szCs w:val="18"/>
              </w:rPr>
              <w:t xml:space="preserve">Capitalisation : extraction des enseignements (leçons apprises) à partir des incidents et des écarts de planning.</w:t>
            </w:r>
          </w:p>
        </w:tc>
      </w:tr>
      <w:tr>
        <w:tc>
          <w:tcPr>
            <w:tcW w:type="dxa" w:w="21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bCs/>
                <w:color w:val="16161B"/>
                <w:sz w:val="18"/>
                <w:szCs w:val="18"/>
              </w:rPr>
              <w:t xml:space="preserve">Dossier de livraison / Release notes</w:t>
            </w:r>
          </w:p>
        </w:tc>
        <w:tc>
          <w:tcPr>
            <w:tcW w:type="dxa" w:w="16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Test Lead, avec le Release Manager</w:t>
            </w:r>
          </w:p>
        </w:tc>
        <w:tc>
          <w:tcPr>
            <w:tcW w:type="dxa" w:w="15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À chaque mise en production</w:t>
            </w:r>
          </w:p>
        </w:tc>
        <w:tc>
          <w:tcPr>
            <w:tcW w:type="dxa" w:w="41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pPr>
              <w:jc w:val="left"/>
            </w:pPr>
            <w:r>
              <w:rPr>
                <w:b w:val="false"/>
                <w:bCs w:val="false"/>
                <w:color w:val="16161B"/>
                <w:sz w:val="18"/>
                <w:szCs w:val="18"/>
              </w:rPr>
              <w:t xml:space="preserve">Rédaction de notes de version en langage clair à partir des tickets résolus et des tests de non-régression passés.</w:t>
            </w:r>
          </w:p>
        </w:tc>
      </w:tr>
    </w:tbl>
    <w:p>
      <w:r>
        <w:br w:type="page"/>
      </w:r>
    </w:p>
    <w:p>
      <w:pPr>
        <w:pStyle w:val="Heading1"/>
      </w:pPr>
      <w:r>
        <w:t xml:space="preserve">Synthèse — la chaîne de traçabilité complète</w:t>
      </w:r>
    </w:p>
    <w:p>
      <w:pPr>
        <w:spacing w:after="160"/>
      </w:pPr>
      <w:r>
        <w:t xml:space="preserve">Lus ensemble, ces documents forment une chaîne ininterrompue, du besoin métier à la preuve de livraison :</w:t>
      </w:r>
    </w:p>
    <w:p>
      <w:pPr>
        <w:pStyle w:val="ListParagraph"/>
        <w:numPr>
          <w:ilvl w:val="0"/>
          <w:numId w:val="2"/>
        </w:numPr>
        <w:spacing w:after="80"/>
      </w:pPr>
      <w:r>
        <w:t xml:space="preserve">Cahier des charges  →  User story  →  Critère d'acceptation Gherkin</w:t>
      </w:r>
    </w:p>
    <w:p>
      <w:pPr>
        <w:pStyle w:val="ListParagraph"/>
        <w:numPr>
          <w:ilvl w:val="0"/>
          <w:numId w:val="2"/>
        </w:numPr>
        <w:spacing w:after="80"/>
      </w:pPr>
      <w:r>
        <w:t xml:space="preserve">Critère d'acceptation  →  Condition de test (Test Design)  →  Cas de test (Test Case)</w:t>
      </w:r>
    </w:p>
    <w:p>
      <w:pPr>
        <w:pStyle w:val="ListParagraph"/>
        <w:numPr>
          <w:ilvl w:val="0"/>
          <w:numId w:val="2"/>
        </w:numPr>
        <w:spacing w:after="80"/>
      </w:pPr>
      <w:r>
        <w:t xml:space="preserve">Cas de test  →  Procédure de test  →  Exécution (Test Log)</w:t>
      </w:r>
    </w:p>
    <w:p>
      <w:pPr>
        <w:pStyle w:val="ListParagraph"/>
        <w:numPr>
          <w:ilvl w:val="0"/>
          <w:numId w:val="2"/>
        </w:numPr>
        <w:spacing w:after="80"/>
      </w:pPr>
      <w:r>
        <w:t xml:space="preserve">Exécution en échec  →  Rapport d'anomalie  →  Correction  →  Ré-exécution</w:t>
      </w:r>
    </w:p>
    <w:p>
      <w:pPr>
        <w:pStyle w:val="ListParagraph"/>
        <w:numPr>
          <w:ilvl w:val="0"/>
          <w:numId w:val="2"/>
        </w:numPr>
        <w:spacing w:after="80"/>
      </w:pPr>
      <w:r>
        <w:t xml:space="preserve">Ensemble des exécutions  →  Rapport de synthèse  →  Décision go/no-go  →  PV de recette  →  Livraison</w:t>
      </w:r>
    </w:p>
    <w:p>
      <w:pPr>
        <w:spacing w:after="160"/>
      </w:pPr>
      <w:r>
        <w:t xml:space="preserve">C'est cette chaîne — et non chaque document pris isolément — qui constitue la vraie valeur de la documentation de test : elle permet, à tout moment, de répondre à la question « si cette exigence change, qu'est-ce que cela impacte ? », et inversement « si ce test échoue, quelle exigence métier est en jeu ? »</w:t>
      </w:r>
    </w:p>
    <w:p>
      <w:pPr>
        <w:pBdr>
          <w:left w:val="single" w:color="C9A227" w:sz="18" w:space="8"/>
        </w:pBdr>
        <w:shd w:fill="FBF8EF" w:val="clear"/>
        <w:spacing w:after="240" w:before="120"/>
      </w:pPr>
      <w:r>
        <w:rPr>
          <w:i/>
          <w:iCs/>
          <w:color w:val="55555F"/>
          <w:sz w:val="20"/>
          <w:szCs w:val="20"/>
        </w:rPr>
        <w:t xml:space="preserve">C'est précisément cette chaîne complète qui structure le notebook et la bibliothèque de prompts qui accompagnent ce document : chaque prompt est positionné explicitement sur l'un de ces maillons, jamais utilisé hors contexte.</w:t>
      </w:r>
    </w:p>
    <w:p>
      <w:pPr>
        <w:pStyle w:val="Heading2"/>
      </w:pPr>
      <w:r>
        <w:t xml:space="preserve">Sources</w:t>
      </w:r>
    </w:p>
    <w:p>
      <w:pPr>
        <w:pStyle w:val="ListParagraph"/>
        <w:numPr>
          <w:ilvl w:val="0"/>
          <w:numId w:val="2"/>
        </w:numPr>
        <w:spacing w:after="80"/>
      </w:pPr>
      <w:r>
        <w:t xml:space="preserve">ANSI/IEEE Standard 829-1983 et IEEE 829-2008 — Standard for Software and System Test Documentation.</w:t>
      </w:r>
    </w:p>
    <w:p>
      <w:pPr>
        <w:pStyle w:val="ListParagraph"/>
        <w:numPr>
          <w:ilvl w:val="0"/>
          <w:numId w:val="2"/>
        </w:numPr>
        <w:spacing w:after="80"/>
      </w:pPr>
      <w:r>
        <w:t xml:space="preserve">ISTQB Certified Tester Foundation Level — Syllabus 2023, chapitre 5 (Test Management).</w:t>
      </w:r>
    </w:p>
    <w:p>
      <w:pPr>
        <w:pStyle w:val="ListParagraph"/>
        <w:numPr>
          <w:ilvl w:val="0"/>
          <w:numId w:val="2"/>
        </w:numPr>
        <w:spacing w:after="80"/>
      </w:pPr>
      <w:r>
        <w:t xml:space="preserve">ISTQB Certified Tester Advanced Level — Test Management (CTAL-TM) v3.0.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F"/>
        <w:sz w:val="16"/>
        <w:szCs w:val="16"/>
      </w:rPr>
      <w:t xml:space="preserve">hello@dhcompany.pro  ·  page </w:t>
    </w:r>
    <w:r>
      <w:rPr>
        <w:color w:val="555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5555F"/>
        <w:sz w:val="16"/>
        <w:szCs w:val="16"/>
      </w:rPr>
      <w:t xml:space="preserve">Digital House Company</w:t>
    </w:r>
    <w:r>
      <w:rPr>
        <w:color w:val="55555F"/>
        <w:sz w:val="16"/>
        <w:szCs w:val="16"/>
      </w:rPr>
      <w:t xml:space="preserve">	Cartographie des documents de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B3A5C"/>
      <w:sz w:val="44"/>
      <w:szCs w:val="44"/>
    </w:rPr>
  </w:style>
  <w:style w:type="paragraph" w:styleId="Heading1">
    <w:name w:val="Heading 1"/>
    <w:basedOn w:val="Normal"/>
    <w:next w:val="Normal"/>
    <w:qFormat/>
    <w:pPr>
      <w:pBdr>
        <w:bottom w:val="single" w:color="C9A227" w:sz="6" w:space="4"/>
      </w:pBdr>
      <w:spacing w:after="20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2026-06-30T21:51:31.622Z</dcterms:created>
  <dcterms:modified xsi:type="dcterms:W3CDTF">2026-06-30T21:51:31.622Z</dcterms:modified>
</cp:coreProperties>
</file>

<file path=docProps/custom.xml><?xml version="1.0" encoding="utf-8"?>
<Properties xmlns="http://schemas.openxmlformats.org/officeDocument/2006/custom-properties" xmlns:vt="http://schemas.openxmlformats.org/officeDocument/2006/docPropsVTypes"/>
</file>