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b/>
          <w:bCs/>
          <w:color w:val="1B3A5C"/>
          <w:sz w:val="22"/>
          <w:szCs w:val="22"/>
        </w:rPr>
        <w:t xml:space="preserve">DIGITAL HOUSE COMPANY</w:t>
      </w:r>
    </w:p>
    <w:p>
      <w:pPr>
        <w:spacing w:after="320"/>
      </w:pPr>
      <w:r>
        <w:rPr>
          <w:color w:val="55555F"/>
          <w:sz w:val="20"/>
          <w:szCs w:val="20"/>
        </w:rPr>
        <w:t xml:space="preserve">Document de référence — Formation testeurs fonctionnels</w:t>
      </w:r>
    </w:p>
    <w:p>
      <w:pPr>
        <w:pStyle w:val="Title"/>
        <w:spacing w:after="200"/>
      </w:pPr>
      <w:r>
        <w:rPr>
          <w:color w:val="1B3A5C"/>
        </w:rPr>
        <w:t xml:space="preserve">Utiliser Claude pour les tests logiciels</w:t>
      </w:r>
    </w:p>
    <w:p>
      <w:pPr>
        <w:spacing w:after="400"/>
      </w:pPr>
      <w:r>
        <w:rPr>
          <w:i/>
          <w:iCs/>
          <w:color w:val="55555F"/>
          <w:sz w:val="24"/>
          <w:szCs w:val="24"/>
        </w:rPr>
        <w:t xml:space="preserve">Skills, automatisation, ressources et outils — un panorama pratique pour le testeur fonctionnel</w:t>
      </w:r>
    </w:p>
    <w:p>
      <w:pPr>
        <w:pBdr>
          <w:bottom w:val="single" w:color="1B3A5C" w:sz="6" w:space="1"/>
        </w:pBdr>
        <w:spacing w:after="200" w:before="200"/>
      </w:pPr>
      <w:r>
        <w:t xml:space="preserve"/>
      </w:r>
    </w:p>
    <w:p>
      <w:pPr>
        <w:spacing w:after="160"/>
      </w:pPr>
      <w:r>
        <w:t xml:space="preserve">Ce guide complète la Cartographie des documents de test, le notebook Cycle complet et la Bibliothèque de prompts. Il répond à une question différente : avec quel outil concret, au-delà du simple copier-coller d'un prompt dans le chat, peut-on outiller chaque étape du cycle de test ?</w:t>
      </w:r>
    </w:p>
    <w:p>
      <w:pPr>
        <w:pBdr>
          <w:left w:val="single" w:color="C9A227" w:sz="18" w:space="8"/>
        </w:pBdr>
        <w:shd w:fill="FBF8EF" w:val="clear"/>
        <w:spacing w:after="240" w:before="120"/>
      </w:pPr>
      <w:r>
        <w:rPr>
          <w:i/>
          <w:iCs/>
          <w:color w:val="55555F"/>
          <w:sz w:val="20"/>
          <w:szCs w:val="20"/>
        </w:rPr>
        <w:t xml:space="preserve">Les produits et fonctionnalités décrits ici évoluent rapidement. Avant toute mise en œuvre en entreprise, vérifiez l'état actuel sur docs.claude.com et support.claude.com — ce document date du 30 juin 2026.</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Claude.ai — le point d'entrée pour tous les documents textuels</w:t>
      </w:r>
    </w:p>
    <w:p>
      <w:pPr>
        <w:spacing w:after="160"/>
      </w:pPr>
      <w:r>
        <w:t xml:space="preserve">Pour l'essentiel des documents de la cartographie — cahier des charges, user stories, critères Gherkin, plans de test, rapports d'anomalie, rapports de synthèse — Claude.ai (interface de chat) suffit. C'est l'outil sans friction : on colle le contexte, on applique un prompt structuré de la bibliothèque, on relit.</w:t>
      </w:r>
    </w:p>
    <w:p>
      <w:pPr>
        <w:pStyle w:val="Heading2"/>
      </w:pPr>
      <w:r>
        <w:t xml:space="preserve">1.1 — Les Skills : encoder une méthodologie de test réutilisable</w:t>
      </w:r>
    </w:p>
    <w:p>
      <w:pPr>
        <w:spacing w:after="160"/>
      </w:pPr>
      <w:r>
        <w:t xml:space="preserve">Une Skill est un dossier de bonnes pratiques que Claude consulte avant de produire un document, pour respecter un format, un style ou une norme propre à l'organisation. C'est exactement le mécanisme qui a permis de construire, tout au long de cette formation, des gabarits cohérents (decks de slides au thème imposé, factures normalisées, comptes-rendus institutionnels).</w:t>
      </w:r>
    </w:p>
    <w:p>
      <w:pPr>
        <w:spacing w:after="160"/>
      </w:pPr>
      <w:r>
        <w:t xml:space="preserve">Pour un testeur fonctionnel, l'intérêt est direct : une Skill peut encoder la structure IEEE 829 attendue pour un plan de test, le gabarit maison de rapport d'anomalie, ou les règles de nommage des cas de test (CT-XX) — afin que chaque génération, par n'importe quel membre de l'équipe, produise un document immédiatement conforme, sans avoir à retaper le prompt structuré à chaque fois.</w:t>
      </w:r>
    </w:p>
    <w:p>
      <w:pPr>
        <w:pStyle w:val="Heading2"/>
      </w:pPr>
      <w:r>
        <w:t xml:space="preserve">1.2 — Projects : garder le contexte d'un module en mémoire</w:t>
      </w:r>
    </w:p>
    <w:p>
      <w:pPr>
        <w:spacing w:after="160"/>
      </w:pPr>
      <w:r>
        <w:t xml:space="preserve">Pour un module en cours de test sur plusieurs semaines, regrouper les documents de référence (spécifications, RTM, cas de test déjà validés) dans un espace de travail persistant évite de re-fournir le contexte à chaque nouvelle conversation. Les détails précis de cette fonctionnalité évoluant régulièrement, consultez la documentation à jour sur support.claude.com.</w:t>
      </w:r>
    </w:p>
    <w:p>
      <w:pPr>
        <w:pBdr>
          <w:bottom w:val="single" w:color="1B3A5C" w:sz="6" w:space="1"/>
        </w:pBdr>
        <w:spacing w:after="200" w:before="200"/>
      </w:pPr>
      <w:r>
        <w:t xml:space="preserve"/>
      </w:r>
    </w:p>
    <w:p>
      <w:pPr>
        <w:pStyle w:val="Heading1"/>
      </w:pPr>
      <w:r>
        <w:t xml:space="preserve">2. Claude Code — l'agent qui lit votre code source</w:t>
      </w:r>
    </w:p>
    <w:p>
      <w:pPr>
        <w:spacing w:after="160"/>
      </w:pPr>
      <w:r>
        <w:t xml:space="preserve">Claude Code est l'agent en ligne de commande d'Anthropic. Il s'exécute dans le terminal, lit l'intégralité d'un dépôt de code, et peut écrire des fichiers, exécuter des commandes, et se connecter à des outils externes via MCP (Model Context Protocol).</w:t>
      </w:r>
    </w:p>
    <w:p>
      <w:pPr>
        <w:spacing w:after="160"/>
      </w:pPr>
      <w:r>
        <w:t xml:space="preserve">Pour le testeur fonctionnel ayant accès au code (ou travaillant en binôme avec un développeur), cela change la nature du travail : au lieu de décrire une fonction dans un prompt, Claude Code la lit directement dans le dépôt, génère des cas de test cohérents avec l'implémentation réelle, et peut maintenir ces tests automatiquement quand le code évolue.</w:t>
      </w:r>
    </w:p>
    <w:p>
      <w:pPr>
        <w:pStyle w:val="Heading2"/>
      </w:pPr>
      <w:r>
        <w:t xml:space="preserve">2.1 — Cas d'usage concrets pour la QA</w:t>
      </w:r>
    </w:p>
    <w:p>
      <w:pPr>
        <w:pStyle w:val="ListParagraph"/>
        <w:numPr>
          <w:ilvl w:val="0"/>
          <w:numId w:val="2"/>
        </w:numPr>
        <w:spacing w:after="80"/>
      </w:pPr>
      <w:r>
        <w:t xml:space="preserve">Génération de cas de test à partir du code source réel d'un module, plutôt que de sa seule description.</w:t>
      </w:r>
    </w:p>
    <w:p>
      <w:pPr>
        <w:pStyle w:val="ListParagraph"/>
        <w:numPr>
          <w:ilvl w:val="0"/>
          <w:numId w:val="2"/>
        </w:numPr>
        <w:spacing w:after="80"/>
      </w:pPr>
      <w:r>
        <w:t xml:space="preserve">Analyse d'impact : à partir d'un changement de code récent (un commit, une pull request), identifier quelles zones doivent être retestées en priorité.</w:t>
      </w:r>
    </w:p>
    <w:p>
      <w:pPr>
        <w:pStyle w:val="ListParagraph"/>
        <w:numPr>
          <w:ilvl w:val="0"/>
          <w:numId w:val="2"/>
        </w:numPr>
        <w:spacing w:after="80"/>
      </w:pPr>
      <w:r>
        <w:t xml:space="preserve">Maintenance des suites de tests existantes lorsque le code évolue, en évitant la dérive entre tests et implémentation.</w:t>
      </w:r>
    </w:p>
    <w:p>
      <w:pPr>
        <w:pStyle w:val="ListParagraph"/>
        <w:numPr>
          <w:ilvl w:val="0"/>
          <w:numId w:val="2"/>
        </w:numPr>
        <w:spacing w:after="80"/>
      </w:pPr>
      <w:r>
        <w:t xml:space="preserve">Test exploratoire piloté en langage naturel via un navigateur (voir section 3), sans écrire de script au préalable.</w:t>
      </w:r>
    </w:p>
    <w:p>
      <w:pPr>
        <w:spacing w:after="160"/>
      </w:pPr>
      <w:r>
        <w:t xml:space="preserve">Important : Claude Code reste un assistant. Le diagnostic de risque, le jugement sur la couverture suffisante et la décision finale de mise en production restent des responsabilités humaines — Claude Code accélère la production de la matière, pas la décision.</w:t>
      </w:r>
    </w:p>
    <w:p>
      <w:pPr>
        <w:pBdr>
          <w:bottom w:val="single" w:color="1B3A5C" w:sz="6" w:space="1"/>
        </w:pBdr>
        <w:spacing w:after="200" w:before="200"/>
      </w:pPr>
      <w:r>
        <w:t xml:space="preserve"/>
      </w:r>
    </w:p>
    <w:p>
      <w:pPr>
        <w:pStyle w:val="Heading1"/>
      </w:pPr>
      <w:r>
        <w:t xml:space="preserve">3. MCP et le serveur Playwright — l'automatisation du navigateur</w:t>
      </w:r>
    </w:p>
    <w:p>
      <w:pPr>
        <w:spacing w:after="160"/>
      </w:pPr>
      <w:r>
        <w:t xml:space="preserve">Le Model Context Protocol (MCP) est un standard ouvert qui permet à un assistant IA de se connecter à des outils externes — un gestionnaire de tests, un dépôt Git, ou un navigateur web. Le serveur Playwright MCP, développé par Microsoft, est le plus directement utile pour les tests système et d'intégration système (niveaux 3 et 4 de la cartographie ISTQB).</w:t>
      </w:r>
    </w:p>
    <w:p>
      <w:pPr>
        <w:pStyle w:val="Heading2"/>
      </w:pPr>
      <w:r>
        <w:t xml:space="preserve">3.1 — Ce que cela permet concrètement</w:t>
      </w:r>
    </w:p>
    <w:p>
      <w:pPr>
        <w:pStyle w:val="ListParagraph"/>
        <w:numPr>
          <w:ilvl w:val="0"/>
          <w:numId w:val="2"/>
        </w:numPr>
        <w:spacing w:after="80"/>
      </w:pPr>
      <w:r>
        <w:t xml:space="preserve">Piloter un vrai navigateur en langage naturel : « Va sur la page de paiement, ajoute deux articles, vérifie que le total se met à jour. »</w:t>
      </w:r>
    </w:p>
    <w:p>
      <w:pPr>
        <w:pStyle w:val="ListParagraph"/>
        <w:numPr>
          <w:ilvl w:val="0"/>
          <w:numId w:val="2"/>
        </w:numPr>
        <w:spacing w:after="80"/>
      </w:pPr>
      <w:r>
        <w:t xml:space="preserve">Accéder à l'arbre d'accessibilité de la page plutôt qu'à de simples captures d'écran, ce qui rend les interactions plus fiables et plus rapides qu'une approche par reconnaissance d'image.</w:t>
      </w:r>
    </w:p>
    <w:p>
      <w:pPr>
        <w:pStyle w:val="ListParagraph"/>
        <w:numPr>
          <w:ilvl w:val="0"/>
          <w:numId w:val="2"/>
        </w:numPr>
        <w:spacing w:after="80"/>
      </w:pPr>
      <w:r>
        <w:t xml:space="preserve">Générer un script de test (Playwright) à partir d'une session d'exploration manuelle, pour le rejouer ensuite de façon déterministe en intégration continue.</w:t>
      </w:r>
    </w:p>
    <w:p>
      <w:pPr>
        <w:pStyle w:val="ListParagraph"/>
        <w:numPr>
          <w:ilvl w:val="0"/>
          <w:numId w:val="2"/>
        </w:numPr>
        <w:spacing w:after="80"/>
      </w:pPr>
      <w:r>
        <w:t xml:space="preserve">Capturer des preuves (captures d'écran, vidéos, messages de console) directement exploitables dans un rapport d'anomalie.</w:t>
      </w:r>
    </w:p>
    <w:p>
      <w:pPr>
        <w:pStyle w:val="Heading2"/>
      </w:pPr>
      <w:r>
        <w:t xml:space="preserve">3.2 — Deux modes d'usage à distinguer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tblHeader/>
        </w:trPr>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b/>
                <w:bCs/>
                <w:color w:val="FFFFFF"/>
                <w:sz w:val="18"/>
                <w:szCs w:val="18"/>
              </w:rPr>
              <w:t xml:space="preserve">Usage</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b/>
                <w:bCs/>
                <w:color w:val="FFFFFF"/>
                <w:sz w:val="18"/>
                <w:szCs w:val="18"/>
              </w:rPr>
              <w:t xml:space="preserve">Quand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b/>
                <w:bCs/>
                <w:color w:val="FFFFFF"/>
                <w:sz w:val="18"/>
                <w:szCs w:val="18"/>
              </w:rPr>
              <w:t xml:space="preserve">Approche recommandée</w:t>
            </w:r>
          </w:p>
        </w:tc>
      </w:tr>
      <w:tr>
        <w:tc>
          <w:tcPr>
            <w:tcW w:type="dxa" w:w="33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bCs/>
                <w:color w:val="16161B"/>
                <w:sz w:val="18"/>
                <w:szCs w:val="18"/>
              </w:rPr>
              <w:t xml:space="preserve">Exploration et auto-validation (« self-QA »)</w:t>
            </w:r>
          </w:p>
        </w:tc>
        <w:tc>
          <w:tcPr>
            <w:tcW w:type="dxa" w:w="33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val="false"/>
                <w:bCs w:val="false"/>
                <w:color w:val="16161B"/>
                <w:sz w:val="18"/>
                <w:szCs w:val="18"/>
              </w:rPr>
              <w:t xml:space="preserve">Pendant le développement, sur une branche ou en local</w:t>
            </w:r>
          </w:p>
        </w:tc>
        <w:tc>
          <w:tcPr>
            <w:tcW w:type="dxa" w:w="27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val="false"/>
                <w:bCs w:val="false"/>
                <w:color w:val="16161B"/>
                <w:sz w:val="18"/>
                <w:szCs w:val="18"/>
              </w:rPr>
              <w:t xml:space="preserve">MCP, en mode interactif</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6161B"/>
                <w:sz w:val="18"/>
                <w:szCs w:val="18"/>
              </w:rPr>
              <w:t xml:space="preserve">Exécution répétable en intégration continue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16161B"/>
                <w:sz w:val="18"/>
                <w:szCs w:val="18"/>
              </w:rPr>
              <w:t xml:space="preserve">À chaque build, de façon déterministe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16161B"/>
                <w:sz w:val="18"/>
                <w:szCs w:val="18"/>
              </w:rPr>
              <w:t xml:space="preserve">Scripts Playwright générés au préalable, exécutés via la CLI</w:t>
            </w:r>
          </w:p>
        </w:tc>
      </w:tr>
    </w:tbl>
    <w:p>
      <w:pPr>
        <w:spacing w:after="160"/>
      </w:pPr>
      <w:r>
        <w:t xml:space="preserve"/>
      </w:r>
    </w:p>
    <w:p>
      <w:pPr>
        <w:spacing w:after="160"/>
      </w:pPr>
      <w:r>
        <w:t xml:space="preserve">La pratique qui se dégage est hybride : utiliser MCP pour explorer et découvrir les scénarios pertinents, puis figer les scénarios critiques en scripts Playwright classiques pour l'exécution récurrente en pipeline.</w:t>
      </w:r>
    </w:p>
    <w:p>
      <w:pPr>
        <w:pBdr>
          <w:left w:val="single" w:color="C9A227" w:sz="18" w:space="8"/>
        </w:pBdr>
        <w:shd w:fill="FBF8EF" w:val="clear"/>
        <w:spacing w:after="240" w:before="120"/>
      </w:pPr>
      <w:r>
        <w:rPr>
          <w:i/>
          <w:iCs/>
          <w:color w:val="55555F"/>
          <w:sz w:val="20"/>
          <w:szCs w:val="20"/>
        </w:rPr>
        <w:t xml:space="preserve">Point de vigilance : tout ce que Claude observe via le navigateur (contenu de page, formulaires, messages console) est transmis à l'API. N'utilisez cette configuration que sur des environnements de développement ou de recette, jamais sur des données de production réelles.</w:t>
      </w:r>
    </w:p>
    <w:p>
      <w:pPr>
        <w:pBdr>
          <w:bottom w:val="single" w:color="1B3A5C" w:sz="6" w:space="1"/>
        </w:pBdr>
        <w:spacing w:after="200" w:before="200"/>
      </w:pPr>
      <w:r>
        <w:t xml:space="preserve"/>
      </w:r>
    </w:p>
    <w:p>
      <w:pPr>
        <w:pStyle w:val="Heading1"/>
      </w:pPr>
      <w:r>
        <w:t xml:space="preserve">4. Le Claude Agent SDK — construire un pipeline QA sur mesure</w:t>
      </w:r>
    </w:p>
    <w:p>
      <w:pPr>
        <w:spacing w:after="160"/>
      </w:pPr>
      <w:r>
        <w:t xml:space="preserve">Pour une équipe qui veut aller au-delà de l'usage ponctuel et bâtir un véritable pipeline de qualité automatisé, le Claude Agent SDK (anciennement Claude Code SDK) permet de programmer des agents en Python ou TypeScript, avec le même moteur que Claude Code.</w:t>
      </w:r>
    </w:p>
    <w:p>
      <w:pPr>
        <w:pStyle w:val="Heading2"/>
      </w:pPr>
      <w:r>
        <w:t xml:space="preserve">4.1 — Le principe des sous-agents spécialisés</w:t>
      </w:r>
    </w:p>
    <w:p>
      <w:pPr>
        <w:spacing w:after="160"/>
      </w:pPr>
      <w:r>
        <w:t xml:space="preserve">Plutôt qu'un agent unique qui fait tout, l'approche qui donne les meilleurs résultats en pratique consiste à découper le pipeline en sous-agents à responsabilité unique — par exemple un agent d'exploration, un agent de génération de cas de test, un agent d'automatisation, et un agent de maintenance. Chaque sous-agent reçoit uniquement les outils et le contexte nécessaires à sa tâche, ce qui réduit les erreurs et facilite la relecture humaine à chaque étape.</w:t>
      </w:r>
    </w:p>
    <w:p>
      <w:pPr>
        <w:spacing w:after="160"/>
      </w:pPr>
      <w:r>
        <w:t xml:space="preserve">Ce découpage rejoint directement la structure de la cartographie des documents de test : un sous-agent peut être dédié à la génération de la RTM, un autre à la rédaction des rapports d'anomalie, un autre à la synthèse exécutive — chacun avec un prompt système qui encode les règles propres à son document.</w:t>
      </w:r>
    </w:p>
    <w:p>
      <w:pPr>
        <w:pStyle w:val="Heading2"/>
      </w:pPr>
      <w:r>
        <w:t xml:space="preserve">4.2 — Intégration en CI/CD</w:t>
      </w:r>
    </w:p>
    <w:p>
      <w:pPr>
        <w:spacing w:after="160"/>
      </w:pPr>
      <w:r>
        <w:t xml:space="preserve">Le pipeline peut se déclencher automatiquement à chaque pull request : démarrage de l'application, exploration des parcours critiques via Playwright MCP, et restitution d'un rapport (avec captures ou vidéos) directement en commentaire sur la pull request, avant même la revue humaine.</w:t>
      </w:r>
    </w:p>
    <w:p>
      <w:pPr>
        <w:pBdr>
          <w:bottom w:val="single" w:color="1B3A5C" w:sz="6" w:space="1"/>
        </w:pBdr>
        <w:spacing w:after="200" w:before="200"/>
      </w:pPr>
      <w:r>
        <w:t xml:space="preserve"/>
      </w:r>
    </w:p>
    <w:p>
      <w:pPr>
        <w:pStyle w:val="Heading1"/>
      </w:pPr>
      <w:r>
        <w:t xml:space="preserve">5. Claude in Chrome — l'agent de navigation grand public</w:t>
      </w:r>
    </w:p>
    <w:p>
      <w:pPr>
        <w:spacing w:after="160"/>
      </w:pPr>
      <w:r>
        <w:t xml:space="preserve">Claude in Chrome est une extension de navigateur (actuellement en bêta) qui permet à Claude d'agir directement dans un navigateur Chrome ordinaire, sans configuration de serveur MCP. Pour un testeur fonctionnel sans accès au code ni appétence pour la ligne de commande, c'est l'option la plus accessible pour de l'exploration manuelle assistée : décrire un parcours en langage naturel et laisser Claude le dérouler sous supervision.</w:t>
      </w:r>
    </w:p>
    <w:p>
      <w:pPr>
        <w:spacing w:after="160"/>
      </w:pPr>
      <w:r>
        <w:t xml:space="preserve">Les capacités précises de cette extension évoluant rapidement, vérifiez l'état actuel des fonctionnalités sur la documentation Anthropic avant de bâtir un processus qui en dépend.</w:t>
      </w:r>
    </w:p>
    <w:p>
      <w:pPr>
        <w:pBdr>
          <w:bottom w:val="single" w:color="1B3A5C" w:sz="6" w:space="1"/>
        </w:pBdr>
        <w:spacing w:after="200" w:before="200"/>
      </w:pPr>
      <w:r>
        <w:t xml:space="preserve"/>
      </w:r>
    </w:p>
    <w:p>
      <w:r>
        <w:br w:type="page"/>
      </w:r>
    </w:p>
    <w:p>
      <w:pPr>
        <w:pStyle w:val="Heading1"/>
      </w:pPr>
      <w:r>
        <w:t xml:space="preserve">6. Quel outil pour quel document ? Tableau de correspondance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60"/>
        <w:gridCol w:w="330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b/>
                <w:bCs/>
                <w:color w:val="FFFFFF"/>
                <w:sz w:val="18"/>
                <w:szCs w:val="18"/>
              </w:rPr>
              <w:t xml:space="preserve">Document / besoin</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b/>
                <w:bCs/>
                <w:color w:val="FFFFFF"/>
                <w:sz w:val="18"/>
                <w:szCs w:val="18"/>
              </w:rPr>
              <w:t xml:space="preserve">Outil recommandé</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b/>
                <w:bCs/>
                <w:color w:val="FFFFFF"/>
                <w:sz w:val="18"/>
                <w:szCs w:val="18"/>
              </w:rPr>
              <w:t xml:space="preserve">Pourquoi</w:t>
            </w:r>
          </w:p>
        </w:tc>
      </w:tr>
      <w:tr>
        <w:tc>
          <w:tcPr>
            <w:tcW w:type="dxa" w:w="30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bCs/>
                <w:color w:val="16161B"/>
                <w:sz w:val="18"/>
                <w:szCs w:val="18"/>
              </w:rPr>
              <w:t xml:space="preserve">Cahier des charges, user stories, critères Gherkin</w:t>
            </w:r>
          </w:p>
        </w:tc>
        <w:tc>
          <w:tcPr>
            <w:tcW w:type="dxa" w:w="30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val="false"/>
                <w:bCs w:val="false"/>
                <w:color w:val="16161B"/>
                <w:sz w:val="18"/>
                <w:szCs w:val="18"/>
              </w:rPr>
              <w:t xml:space="preserve">Claude.ai (chat) + prompts structurés</w:t>
            </w:r>
          </w:p>
        </w:tc>
        <w:tc>
          <w:tcPr>
            <w:tcW w:type="dxa" w:w="33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val="false"/>
                <w:bCs w:val="false"/>
                <w:color w:val="16161B"/>
                <w:sz w:val="18"/>
                <w:szCs w:val="18"/>
              </w:rPr>
              <w:t xml:space="preserve">Pas besoin d'accès au code ; le texte source suffit comme contexte.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6161B"/>
                <w:sz w:val="18"/>
                <w:szCs w:val="18"/>
              </w:rPr>
              <w:t xml:space="preserve">Plan de test, stratégie, RTM, rapports (synthèse, clôture)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16161B"/>
                <w:sz w:val="18"/>
                <w:szCs w:val="18"/>
              </w:rPr>
              <w:t xml:space="preserve">Claude.ai (chat), avec une Skill dédiée si le format est récurrent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16161B"/>
                <w:sz w:val="18"/>
                <w:szCs w:val="18"/>
              </w:rPr>
              <w:t xml:space="preserve">Documents textuels structurés ; une Skill garantit la cohérence du gabarit dans le temps.</w:t>
            </w:r>
          </w:p>
        </w:tc>
      </w:tr>
      <w:tr>
        <w:tc>
          <w:tcPr>
            <w:tcW w:type="dxa" w:w="30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bCs/>
                <w:color w:val="16161B"/>
                <w:sz w:val="18"/>
                <w:szCs w:val="18"/>
              </w:rPr>
              <w:t xml:space="preserve">Cas de test, jeux de données, conditions de test</w:t>
            </w:r>
          </w:p>
        </w:tc>
        <w:tc>
          <w:tcPr>
            <w:tcW w:type="dxa" w:w="30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val="false"/>
                <w:bCs w:val="false"/>
                <w:color w:val="16161B"/>
                <w:sz w:val="18"/>
                <w:szCs w:val="18"/>
              </w:rPr>
              <w:t xml:space="preserve">Claude.ai pour la conception ; Claude Code si le code source existe déjà</w:t>
            </w:r>
          </w:p>
        </w:tc>
        <w:tc>
          <w:tcPr>
            <w:tcW w:type="dxa" w:w="33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val="false"/>
                <w:bCs w:val="false"/>
                <w:color w:val="16161B"/>
                <w:sz w:val="18"/>
                <w:szCs w:val="18"/>
              </w:rPr>
              <w:t xml:space="preserve">Claude Code ancre les cas de test dans l'implémentation réelle, pas une description approximative.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6161B"/>
                <w:sz w:val="18"/>
                <w:szCs w:val="18"/>
              </w:rPr>
              <w:t xml:space="preserve">Tests système et d'intégration système (E2E)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16161B"/>
                <w:sz w:val="18"/>
                <w:szCs w:val="18"/>
              </w:rPr>
              <w:t xml:space="preserve">Claude Code + serveur MCP Playwright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16161B"/>
                <w:sz w:val="18"/>
                <w:szCs w:val="18"/>
              </w:rPr>
              <w:t xml:space="preserve">Nécessite un navigateur piloté ; MCP est l'outil dédié à cet usage.</w:t>
            </w:r>
          </w:p>
        </w:tc>
      </w:tr>
      <w:tr>
        <w:tc>
          <w:tcPr>
            <w:tcW w:type="dxa" w:w="30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bCs/>
                <w:color w:val="16161B"/>
                <w:sz w:val="18"/>
                <w:szCs w:val="18"/>
              </w:rPr>
              <w:t xml:space="preserve">Rapport d'anomalie, journal de test</w:t>
            </w:r>
          </w:p>
        </w:tc>
        <w:tc>
          <w:tcPr>
            <w:tcW w:type="dxa" w:w="306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val="false"/>
                <w:bCs w:val="false"/>
                <w:color w:val="16161B"/>
                <w:sz w:val="18"/>
                <w:szCs w:val="18"/>
              </w:rPr>
              <w:t xml:space="preserve">Claude.ai à partir des résultats d'exécution (manuels ou automatisés)</w:t>
            </w:r>
          </w:p>
        </w:tc>
        <w:tc>
          <w:tcPr>
            <w:tcW w:type="dxa" w:w="3300"/>
            <w:tcBorders>
              <w:top w:val="single" w:color="CCCCCC" w:sz="1"/>
              <w:left w:val="single" w:color="CCCCCC" w:sz="1"/>
              <w:bottom w:val="single" w:color="CCCCCC" w:sz="1"/>
              <w:right w:val="single" w:color="CCCCCC" w:sz="1"/>
            </w:tcBorders>
            <w:shd w:fill="FAFAFD" w:val="clear"/>
            <w:tcMar>
              <w:top w:type="dxa" w:w="80"/>
              <w:left w:type="dxa" w:w="120"/>
              <w:bottom w:type="dxa" w:w="80"/>
              <w:right w:type="dxa" w:w="120"/>
            </w:tcMar>
            <w:vAlign w:val="center"/>
          </w:tcPr>
          <w:p>
            <w:r>
              <w:rPr>
                <w:b w:val="false"/>
                <w:bCs w:val="false"/>
                <w:color w:val="16161B"/>
                <w:sz w:val="18"/>
                <w:szCs w:val="18"/>
              </w:rPr>
              <w:t xml:space="preserve">La structuration du rapport ne nécessite pas d'accès au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16161B"/>
                <w:sz w:val="18"/>
                <w:szCs w:val="18"/>
              </w:rPr>
              <w:t xml:space="preserve">Pipeline QA récurrent en CI/CD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16161B"/>
                <w:sz w:val="18"/>
                <w:szCs w:val="18"/>
              </w:rPr>
              <w:t xml:space="preserve">Claude Agent SDK + sous-agents spécialisés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16161B"/>
                <w:sz w:val="18"/>
                <w:szCs w:val="18"/>
              </w:rPr>
              <w:t xml:space="preserve">Nécessite un investissement d'industrialisation, justifié pour les projets à exécution fréquente.</w:t>
            </w:r>
          </w:p>
        </w:tc>
      </w:tr>
    </w:tbl>
    <w:p>
      <w:pPr>
        <w:spacing w:after="160"/>
      </w:pPr>
      <w:r>
        <w:t xml:space="preserve"/>
      </w:r>
    </w:p>
    <w:p>
      <w:pPr>
        <w:pStyle w:val="Heading1"/>
      </w:pPr>
      <w:r>
        <w:t xml:space="preserve">7. Bonnes pratiques et limites — ce qui ne change pas</w:t>
      </w:r>
    </w:p>
    <w:p>
      <w:pPr>
        <w:spacing w:after="160"/>
      </w:pPr>
      <w:r>
        <w:t xml:space="preserve">Quel que soit l'outil utilisé, les garde-fous restent les mêmes que ceux établis dans le deck de formation et la bibliothèque de prompts :</w:t>
      </w:r>
    </w:p>
    <w:p>
      <w:pPr>
        <w:pStyle w:val="ListParagraph"/>
        <w:numPr>
          <w:ilvl w:val="0"/>
          <w:numId w:val="2"/>
        </w:numPr>
        <w:spacing w:after="80"/>
      </w:pPr>
      <w:r>
        <w:t xml:space="preserve">Relire et exécuter systématiquement ce qui est généré — un test non exécuté n'a aucune valeur de preuve.</w:t>
      </w:r>
    </w:p>
    <w:p>
      <w:pPr>
        <w:pStyle w:val="ListParagraph"/>
        <w:numPr>
          <w:ilvl w:val="0"/>
          <w:numId w:val="2"/>
        </w:numPr>
        <w:spacing w:after="80"/>
      </w:pPr>
      <w:r>
        <w:t xml:space="preserve">Toujours préciser le niveau de test visé et le document cible dans le contexte du prompt — c'est ce qui évite les réponses hors sujet.</w:t>
      </w:r>
    </w:p>
    <w:p>
      <w:pPr>
        <w:pStyle w:val="ListParagraph"/>
        <w:numPr>
          <w:ilvl w:val="0"/>
          <w:numId w:val="2"/>
        </w:numPr>
        <w:spacing w:after="80"/>
      </w:pPr>
      <w:r>
        <w:t xml:space="preserve">Ne jamais transmettre de données de production réelles à un outil connecté (MCP, agent de navigation) sans anonymisation préalable.</w:t>
      </w:r>
    </w:p>
    <w:p>
      <w:pPr>
        <w:pStyle w:val="ListParagraph"/>
        <w:numPr>
          <w:ilvl w:val="0"/>
          <w:numId w:val="2"/>
        </w:numPr>
        <w:spacing w:after="80"/>
      </w:pPr>
      <w:r>
        <w:t xml:space="preserve">Garder la décision finale (couverture suffisante, go/no-go de mise en production) entre des mains humaines — l'IA accélère la production de la matière, jamais le jugement.</w:t>
      </w:r>
    </w:p>
    <w:p>
      <w:pPr>
        <w:pStyle w:val="ListParagraph"/>
        <w:numPr>
          <w:ilvl w:val="0"/>
          <w:numId w:val="2"/>
        </w:numPr>
        <w:spacing w:after="80"/>
      </w:pPr>
      <w:r>
        <w:t xml:space="preserve">Documenter les prompts utilisés pour les documents réglementaires ou contractuels, par traçabilité et reproductibilité.</w:t>
      </w:r>
    </w:p>
    <w:p>
      <w:pPr>
        <w:pBdr>
          <w:bottom w:val="single" w:color="1B3A5C" w:sz="6" w:space="1"/>
        </w:pBdr>
        <w:spacing w:after="200" w:before="200"/>
      </w:pPr>
      <w:r>
        <w:t xml:space="preserve"/>
      </w:r>
    </w:p>
    <w:p>
      <w:pPr>
        <w:pStyle w:val="Heading1"/>
      </w:pPr>
      <w:r>
        <w:t xml:space="preserve">Sources</w:t>
      </w:r>
    </w:p>
    <w:p>
      <w:pPr>
        <w:spacing w:after="160"/>
      </w:pPr>
      <w:r>
        <w:t xml:space="preserve">Les éléments factuels de ce guide s'appuient sur la documentation publique suivante, à consulter pour toute mise en œuvre :</w:t>
      </w:r>
    </w:p>
    <w:p>
      <w:pPr>
        <w:spacing w:after="100"/>
      </w:pPr>
      <w:hyperlink w:history="1" r:id="rIdf2yafagzd9uts0vpgmawp">
        <w:r>
          <w:rPr>
            <w:rStyle w:val="Hyperlink"/>
            <w:color w:val="1B3A5C"/>
            <w:u w:val="single"/>
          </w:rPr>
          <w:t xml:space="preserve">docs.claude.com — documentation Claude Code et Agent SDK</w:t>
        </w:r>
      </w:hyperlink>
    </w:p>
    <w:p>
      <w:pPr>
        <w:spacing w:after="100"/>
      </w:pPr>
      <w:hyperlink w:history="1" r:id="rIdpdse4xxefzr04jw70z_nz">
        <w:r>
          <w:rPr>
            <w:rStyle w:val="Hyperlink"/>
            <w:color w:val="1B3A5C"/>
            <w:u w:val="single"/>
          </w:rPr>
          <w:t xml:space="preserve">support.claude.com — centre d'aide Claude.ai (Skills, Projects)</w:t>
        </w:r>
      </w:hyperlink>
    </w:p>
    <w:p>
      <w:pPr>
        <w:spacing w:after="100"/>
      </w:pPr>
      <w:hyperlink w:history="1" r:id="rId6jdpbgs6q455fi-fcu4oz">
        <w:r>
          <w:rPr>
            <w:rStyle w:val="Hyperlink"/>
            <w:color w:val="1B3A5C"/>
            <w:u w:val="single"/>
          </w:rPr>
          <w:t xml:space="preserve">playwright.dev/docs/getting-started-mcp — documentation officielle du serveur Playwright MCP</w:t>
        </w:r>
      </w:hyperlink>
    </w:p>
    <w:p>
      <w:pPr>
        <w:spacing w:after="100"/>
      </w:pPr>
      <w:hyperlink w:history="1" r:id="rIdni1mfog1lj38s7ddfvzwe">
        <w:r>
          <w:rPr>
            <w:rStyle w:val="Hyperlink"/>
            <w:color w:val="1B3A5C"/>
            <w:u w:val="single"/>
          </w:rPr>
          <w:t xml:space="preserve">modelcontextprotocol.io — spécification du Model Context Protocol</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F"/>
        <w:sz w:val="16"/>
        <w:szCs w:val="16"/>
      </w:rPr>
      <w:t xml:space="preserve">hello@dhcompany.pro  ·  page </w:t>
    </w:r>
    <w:r>
      <w:rPr>
        <w:color w:val="555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5555F"/>
        <w:sz w:val="16"/>
        <w:szCs w:val="16"/>
      </w:rPr>
      <w:t xml:space="preserve">Digital House Company</w:t>
    </w:r>
    <w:r>
      <w:rPr>
        <w:color w:val="55555F"/>
        <w:sz w:val="16"/>
        <w:szCs w:val="16"/>
      </w:rPr>
      <w:t xml:space="preserve">	Utiliser Claude pour les tests logiciels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16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B3A5C"/>
      <w:sz w:val="40"/>
      <w:szCs w:val="40"/>
    </w:rPr>
  </w:style>
  <w:style w:type="paragraph" w:styleId="Heading1">
    <w:name w:val="Heading 1"/>
    <w:basedOn w:val="Normal"/>
    <w:next w:val="Normal"/>
    <w:qFormat/>
    <w:pPr>
      <w:pBdr>
        <w:bottom w:val="single" w:color="C9A227" w:sz="6" w:space="4"/>
      </w:pBdr>
      <w:spacing w:after="20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2yafagzd9uts0vpgmawp" Type="http://schemas.openxmlformats.org/officeDocument/2006/relationships/hyperlink" Target="https://docs.claude.com" TargetMode="External"/><Relationship Id="rIdpdse4xxefzr04jw70z_nz" Type="http://schemas.openxmlformats.org/officeDocument/2006/relationships/hyperlink" Target="https://support.claude.com" TargetMode="External"/><Relationship Id="rId6jdpbgs6q455fi-fcu4oz" Type="http://schemas.openxmlformats.org/officeDocument/2006/relationships/hyperlink" Target="https://playwright.dev/docs/getting-started-mcp" TargetMode="External"/><Relationship Id="rIdni1mfog1lj38s7ddfvzwe" Type="http://schemas.openxmlformats.org/officeDocument/2006/relationships/hyperlink" Target="https://modelcontextprotocol.io"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2026-06-30T22:00:25.728Z</dcterms:created>
  <dcterms:modified xsi:type="dcterms:W3CDTF">2026-06-30T22:00:25.728Z</dcterms:modified>
</cp:coreProperties>
</file>

<file path=docProps/custom.xml><?xml version="1.0" encoding="utf-8"?>
<Properties xmlns="http://schemas.openxmlformats.org/officeDocument/2006/custom-properties" xmlns:vt="http://schemas.openxmlformats.org/officeDocument/2006/docPropsVTypes"/>
</file>