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73F5F"/>
          <w:left w:val="single" w:sz="6" w:space="0" w:color="173F5F"/>
          <w:bottom w:val="single" w:sz="6" w:space="0" w:color="173F5F"/>
          <w:right w:val="single" w:sz="6" w:space="0" w:color="173F5F"/>
          <w:insideH w:val="single" w:sz="6" w:space="0" w:color="173F5F"/>
          <w:insideV w:val="single" w:sz="6" w:space="0" w:color="173F5F"/>
        </w:tblBorders>
      </w:tblPr>
      <w:tblGrid>
        <w:gridCol w:w="9936"/>
      </w:tblGrid>
      <w:tr>
        <w:tc>
          <w:tcPr>
            <w:tcW w:type="dxa" w:w="9936"/>
            <w:shd w:fill="173F5F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STANDARD SUBCONTRACT AGREEMENT</w:t>
            </w:r>
          </w:p>
          <w:p>
            <w:r>
              <w:rPr>
                <w:i/>
                <w:color w:val="F0F0F0"/>
                <w:sz w:val="20"/>
              </w:rPr>
              <w:t>O’Neill Contractors, Inc. • Synthetic training document for ContractLens AI</w:t>
            </w:r>
          </w:p>
        </w:tc>
      </w:tr>
    </w:tbl>
    <w:p>
      <w:pPr>
        <w:spacing w:before="40" w:after="160"/>
      </w:pPr>
      <w:r>
        <w:rPr>
          <w:i/>
          <w:color w:val="6E6E6E"/>
          <w:sz w:val="18"/>
        </w:rPr>
        <w:t>This document is entirely synthetic and created for portfolio/demo use only. It does not reflect any real O’Neill contract language.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5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5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b/>
                <w:sz w:val="20"/>
              </w:rPr>
              <w:t>General Contractor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O’Neill Contractors, Inc.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b/>
                <w:sz w:val="20"/>
              </w:rPr>
              <w:t>Subcontract Package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Exterior Envelope – Roofing &amp; Sheet Metal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b/>
                <w:sz w:val="20"/>
              </w:rPr>
              <w:t>Project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North Shore Federal Operations Center – Envelope &amp; MEP Upgrades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b/>
                <w:sz w:val="20"/>
              </w:rPr>
              <w:t>Project Location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Glenview, Illinois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b/>
                <w:sz w:val="20"/>
              </w:rPr>
              <w:t>Prime Contract Reference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NSFOC-26-041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b/>
                <w:sz w:val="20"/>
              </w:rPr>
              <w:t>Subcontract Number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SC-ROOF-017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b/>
                <w:sz w:val="20"/>
              </w:rPr>
              <w:t>Contract Type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Lump Sum with schedule-of-values billing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b/>
                <w:sz w:val="20"/>
              </w:rPr>
              <w:t>Original Contract Value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$286,400</w:t>
            </w:r>
          </w:p>
        </w:tc>
      </w:tr>
    </w:tbl>
    <w:p>
      <w:pPr>
        <w:pStyle w:val="Heading1"/>
      </w:pPr>
      <w:r>
        <w:rPr>
          <w:color w:val="173F5F"/>
          <w:sz w:val="28"/>
        </w:rPr>
        <w:t>1. Purpose and Order of Precedence</w:t>
      </w:r>
    </w:p>
    <w:p>
      <w:pPr>
        <w:spacing w:after="120" w:line="259" w:lineRule="auto"/>
      </w:pPr>
      <w:r>
        <w:rPr>
          <w:sz w:val="21"/>
        </w:rPr>
        <w:t>Subcontractor shall furnish all labor, supervision, tools, materials, equipment, permits, and incidentals necessary to perform the Work described in Exhibit A and reasonably inferable therefrom.</w:t>
      </w:r>
    </w:p>
    <w:p>
      <w:pPr>
        <w:spacing w:after="120" w:line="259" w:lineRule="auto"/>
      </w:pPr>
      <w:r>
        <w:rPr>
          <w:sz w:val="21"/>
        </w:rPr>
        <w:t>In the event of inconsistency, the following order shall govern: this Agreement, executed change orders, project specifications, approved shop drawings, and Subcontractor proposal only to the extent expressly incorporated.</w:t>
      </w:r>
    </w:p>
    <w:p>
      <w:pPr>
        <w:pStyle w:val="Heading1"/>
      </w:pPr>
      <w:r>
        <w:rPr>
          <w:color w:val="173F5F"/>
          <w:sz w:val="28"/>
        </w:rPr>
        <w:t>2. Commercial Terms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5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5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Standard Requirement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5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5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Risk if Missing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Payment Terms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Pay-when-paid; progress payments issued within 45 days after approved pay application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10% retainage until substantial completion of subcontract work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Cash-flow dispute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Schedule of Values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Required within 5 business days of award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Must align to CSI divisions and line-item scope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Billing delays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Change Orders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Written approval required before extra work proceeds except emergency life-safety conditions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Pricing backup required within 3 business days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Unauthorized cost exposure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Warranty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Two-year subcontractor warranty unless longer period is specified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Starts at project substantial completion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Post-closeout claims</w:t>
            </w:r>
          </w:p>
        </w:tc>
      </w:tr>
    </w:tbl>
    <w:p>
      <w:pPr>
        <w:pStyle w:val="Heading1"/>
      </w:pPr>
      <w:r>
        <w:rPr>
          <w:color w:val="173F5F"/>
          <w:sz w:val="28"/>
        </w:rPr>
        <w:t>3. Insurance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5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5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Minimum Limit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5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Required Endorsements / Notes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Commercial General Liability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$1,000,000 each occurrence / $2,000,000 aggregate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Additional insured for ongoing and completed operations; primary &amp; non-contributory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Automobile Liability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$1,000,000 combined single limit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Owned, non-owned, and hired autos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Workers’ Compensation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Statutory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Employer’s liability $1,000,000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Umbrella / Excess Liability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$5,000,000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May be used to satisfy aggregate requirements</w:t>
            </w:r>
          </w:p>
        </w:tc>
      </w:tr>
    </w:tbl>
    <w:p>
      <w:pPr>
        <w:pStyle w:val="Heading1"/>
      </w:pPr>
      <w:r>
        <w:rPr>
          <w:color w:val="173F5F"/>
          <w:sz w:val="28"/>
        </w:rPr>
        <w:t>4. Key Administrative Requirements</w:t>
      </w:r>
    </w:p>
    <w:p>
      <w:pPr>
        <w:pStyle w:val="ListBullet"/>
      </w:pPr>
      <w:r>
        <w:rPr>
          <w:sz w:val="20"/>
        </w:rPr>
        <w:t>Current certificate of insurance and endorsements must be on file before mobilization.</w:t>
      </w:r>
    </w:p>
    <w:p>
      <w:pPr>
        <w:pStyle w:val="ListBullet"/>
      </w:pPr>
      <w:r>
        <w:rPr>
          <w:sz w:val="20"/>
        </w:rPr>
        <w:t>Subcontractor shall submit a three-week look-ahead and manpower projection every Thursday by 3:00 PM.</w:t>
      </w:r>
    </w:p>
    <w:p>
      <w:pPr>
        <w:pStyle w:val="ListBullet"/>
      </w:pPr>
      <w:r>
        <w:rPr>
          <w:sz w:val="20"/>
        </w:rPr>
        <w:t>Daily reports shall note crew size, weather, deliveries, safety incidents, and work completed.</w:t>
      </w:r>
    </w:p>
    <w:p>
      <w:pPr>
        <w:pStyle w:val="ListBullet"/>
      </w:pPr>
      <w:r>
        <w:rPr>
          <w:sz w:val="20"/>
        </w:rPr>
        <w:t>Any claimed delay, disruption, acceleration, or differing site condition shall be noticed in writing within 48 hours.</w:t>
      </w:r>
    </w:p>
    <w:p>
      <w:pPr>
        <w:pStyle w:val="Heading1"/>
      </w:pPr>
      <w:r>
        <w:rPr>
          <w:color w:val="173F5F"/>
          <w:sz w:val="28"/>
        </w:rPr>
        <w:t>5. Red-Flag Fields for Intake Review</w:t>
      </w:r>
    </w:p>
    <w:p>
      <w:pPr>
        <w:pStyle w:val="ListNumber"/>
      </w:pPr>
      <w:r>
        <w:rPr>
          <w:sz w:val="20"/>
        </w:rPr>
        <w:t>Payment term deviation from Net 45 / pay-when-paid structure</w:t>
      </w:r>
    </w:p>
    <w:p>
      <w:pPr>
        <w:pStyle w:val="ListNumber"/>
      </w:pPr>
      <w:r>
        <w:rPr>
          <w:sz w:val="20"/>
        </w:rPr>
        <w:t>Missing additional-insured or completed-operations endorsement</w:t>
      </w:r>
    </w:p>
    <w:p>
      <w:pPr>
        <w:pStyle w:val="ListNumber"/>
      </w:pPr>
      <w:r>
        <w:rPr>
          <w:sz w:val="20"/>
        </w:rPr>
        <w:t>Warranty term shorter than two years</w:t>
      </w:r>
    </w:p>
    <w:p>
      <w:pPr>
        <w:pStyle w:val="ListNumber"/>
      </w:pPr>
      <w:r>
        <w:rPr>
          <w:sz w:val="20"/>
        </w:rPr>
        <w:t>Clause allowing verbal change-order authorization without written backup</w:t>
      </w:r>
    </w:p>
    <w:p>
      <w:pPr>
        <w:pStyle w:val="ListNumber"/>
      </w:pPr>
      <w:r>
        <w:rPr>
          <w:sz w:val="20"/>
        </w:rPr>
        <w:t>Proposal language attempting to supersede project specifications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Synthetic document pack for ContractLens AI — Demo portfolio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