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single" w:sz="6" w:space="0" w:color="7A1F1F"/>
          <w:left w:val="single" w:sz="6" w:space="0" w:color="7A1F1F"/>
          <w:bottom w:val="single" w:sz="6" w:space="0" w:color="7A1F1F"/>
          <w:right w:val="single" w:sz="6" w:space="0" w:color="7A1F1F"/>
          <w:insideH w:val="single" w:sz="6" w:space="0" w:color="7A1F1F"/>
          <w:insideV w:val="single" w:sz="6" w:space="0" w:color="7A1F1F"/>
        </w:tblBorders>
      </w:tblPr>
      <w:tblGrid>
        <w:gridCol w:w="10080"/>
      </w:tblGrid>
      <w:tr>
        <w:tc>
          <w:tcPr>
            <w:tcW w:type="dxa" w:w="10080"/>
            <w:shd w:fill="7A1F1F"/>
            <w:tcMar>
              <w:top w:w="180" w:type="dxa"/>
              <w:start w:w="180" w:type="dxa"/>
              <w:bottom w:w="180" w:type="dxa"/>
              <w:end w:w="180" w:type="dxa"/>
            </w:tcMar>
          </w:tcPr>
          <w:p>
            <w:pPr>
              <w:jc w:val="left"/>
            </w:pPr>
            <w:r>
              <w:rPr>
                <w:b/>
                <w:color w:val="FFFFFF"/>
                <w:sz w:val="34"/>
              </w:rPr>
              <w:t>ABC ROOFING &amp; SHEET METAL, LLC</w:t>
            </w:r>
          </w:p>
          <w:p>
            <w:r>
              <w:rPr>
                <w:i/>
                <w:color w:val="F0F0F0"/>
                <w:sz w:val="20"/>
              </w:rPr>
              <w:t>Proposal • Scope Letter • Commercial Terms</w:t>
            </w:r>
          </w:p>
        </w:tc>
      </w:tr>
    </w:tbl>
    <w:p>
      <w:r>
        <w:rPr>
          <w:b/>
          <w:sz w:val="20"/>
        </w:rPr>
        <w:t>Proposal No. AR-8841 | Submitted to: O’Neill Contractors, Inc. | Project: North Shore Federal Operations Center – Envelope &amp; MEP Upgrades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5040"/>
            <w:vAlign w:val="center"/>
            <w:tcMar>
              <w:top w:w="80" w:type="dxa"/>
              <w:start w:w="120" w:type="dxa"/>
              <w:bottom w:w="80" w:type="dxa"/>
              <w:end w:w="120" w:type="dxa"/>
            </w:tcMar>
            <w:shd w:fill="7A1F1F"/>
          </w:tcPr>
          <w:p>
            <w:pPr>
              <w:spacing w:after="0"/>
              <w:jc w:val="center"/>
            </w:pPr>
            <w:r>
              <w:rPr>
                <w:b/>
                <w:color w:val="FFFFFF"/>
                <w:sz w:val="20"/>
              </w:rPr>
              <w:t>Proposal Item</w:t>
            </w:r>
          </w:p>
        </w:tc>
        <w:tc>
          <w:tcPr>
            <w:tcW w:type="dxa" w:w="5040"/>
            <w:vAlign w:val="center"/>
            <w:tcMar>
              <w:top w:w="80" w:type="dxa"/>
              <w:start w:w="120" w:type="dxa"/>
              <w:bottom w:w="80" w:type="dxa"/>
              <w:end w:w="120" w:type="dxa"/>
            </w:tcMar>
            <w:shd w:fill="7A1F1F"/>
          </w:tcPr>
          <w:p>
            <w:pPr>
              <w:spacing w:after="0"/>
              <w:jc w:val="center"/>
            </w:pPr>
            <w:r>
              <w:rPr>
                <w:b/>
                <w:color w:val="FFFFFF"/>
                <w:sz w:val="20"/>
              </w:rPr>
              <w:t>ABC Roofing Terms</w:t>
            </w:r>
          </w:p>
        </w:tc>
      </w:tr>
      <w:tr>
        <w:tc>
          <w:tcPr>
            <w:tcW w:type="dxa" w:w="5040"/>
            <w:vAlign w:val="center"/>
            <w:tcMar>
              <w:top w:w="80" w:type="dxa"/>
              <w:start w:w="120" w:type="dxa"/>
              <w:bottom w:w="80" w:type="dxa"/>
              <w:end w:w="120" w:type="dxa"/>
            </w:tcMar>
            <w:shd w:fill="F3F6F8"/>
          </w:tcPr>
          <w:p>
            <w:pPr>
              <w:spacing w:after="0"/>
            </w:pPr>
            <w:r>
              <w:rPr>
                <w:b/>
                <w:sz w:val="20"/>
              </w:rPr>
              <w:t>Base Price</w:t>
            </w:r>
          </w:p>
        </w:tc>
        <w:tc>
          <w:tcPr>
            <w:tcW w:type="dxa" w:w="5040"/>
            <w:vAlign w:val="center"/>
            <w:tcMar>
              <w:top w:w="80" w:type="dxa"/>
              <w:start w:w="120" w:type="dxa"/>
              <w:bottom w:w="80" w:type="dxa"/>
              <w:end w:w="120" w:type="dxa"/>
            </w:tcMar>
          </w:tcPr>
          <w:p>
            <w:pPr>
              <w:spacing w:after="0"/>
            </w:pPr>
            <w:r>
              <w:rPr>
                <w:sz w:val="20"/>
              </w:rPr>
              <w:t>$271,900</w:t>
            </w:r>
          </w:p>
        </w:tc>
      </w:tr>
      <w:tr>
        <w:tc>
          <w:tcPr>
            <w:tcW w:type="dxa" w:w="5040"/>
            <w:vAlign w:val="center"/>
            <w:tcMar>
              <w:top w:w="80" w:type="dxa"/>
              <w:start w:w="120" w:type="dxa"/>
              <w:bottom w:w="80" w:type="dxa"/>
              <w:end w:w="120" w:type="dxa"/>
            </w:tcMar>
            <w:shd w:fill="F3F6F8"/>
          </w:tcPr>
          <w:p>
            <w:pPr>
              <w:spacing w:after="0"/>
            </w:pPr>
            <w:r>
              <w:rPr>
                <w:b/>
                <w:sz w:val="20"/>
              </w:rPr>
              <w:t>Alternates</w:t>
            </w:r>
          </w:p>
        </w:tc>
        <w:tc>
          <w:tcPr>
            <w:tcW w:type="dxa" w:w="5040"/>
            <w:vAlign w:val="center"/>
            <w:tcMar>
              <w:top w:w="80" w:type="dxa"/>
              <w:start w:w="120" w:type="dxa"/>
              <w:bottom w:w="80" w:type="dxa"/>
              <w:end w:w="120" w:type="dxa"/>
            </w:tcMar>
          </w:tcPr>
          <w:p>
            <w:pPr>
              <w:spacing w:after="0"/>
            </w:pPr>
            <w:r>
              <w:rPr>
                <w:sz w:val="20"/>
              </w:rPr>
              <w:t>Metal coping replacement allowance not included; add $18,500 if directed</w:t>
            </w:r>
          </w:p>
        </w:tc>
      </w:tr>
      <w:tr>
        <w:tc>
          <w:tcPr>
            <w:tcW w:type="dxa" w:w="5040"/>
            <w:vAlign w:val="center"/>
            <w:tcMar>
              <w:top w:w="80" w:type="dxa"/>
              <w:start w:w="120" w:type="dxa"/>
              <w:bottom w:w="80" w:type="dxa"/>
              <w:end w:w="120" w:type="dxa"/>
            </w:tcMar>
            <w:shd w:fill="F3F6F8"/>
          </w:tcPr>
          <w:p>
            <w:pPr>
              <w:spacing w:after="0"/>
            </w:pPr>
            <w:r>
              <w:rPr>
                <w:b/>
                <w:sz w:val="20"/>
              </w:rPr>
              <w:t>Proposal Validity</w:t>
            </w:r>
          </w:p>
        </w:tc>
        <w:tc>
          <w:tcPr>
            <w:tcW w:type="dxa" w:w="5040"/>
            <w:vAlign w:val="center"/>
            <w:tcMar>
              <w:top w:w="80" w:type="dxa"/>
              <w:start w:w="120" w:type="dxa"/>
              <w:bottom w:w="80" w:type="dxa"/>
              <w:end w:w="120" w:type="dxa"/>
            </w:tcMar>
          </w:tcPr>
          <w:p>
            <w:pPr>
              <w:spacing w:after="0"/>
            </w:pPr>
            <w:r>
              <w:rPr>
                <w:sz w:val="20"/>
              </w:rPr>
              <w:t>15 calendar days</w:t>
            </w:r>
          </w:p>
        </w:tc>
      </w:tr>
      <w:tr>
        <w:tc>
          <w:tcPr>
            <w:tcW w:type="dxa" w:w="5040"/>
            <w:vAlign w:val="center"/>
            <w:tcMar>
              <w:top w:w="80" w:type="dxa"/>
              <w:start w:w="120" w:type="dxa"/>
              <w:bottom w:w="80" w:type="dxa"/>
              <w:end w:w="120" w:type="dxa"/>
            </w:tcMar>
            <w:shd w:fill="F3F6F8"/>
          </w:tcPr>
          <w:p>
            <w:pPr>
              <w:spacing w:after="0"/>
            </w:pPr>
            <w:r>
              <w:rPr>
                <w:b/>
                <w:sz w:val="20"/>
              </w:rPr>
              <w:t>Lead Time Assumption</w:t>
            </w:r>
          </w:p>
        </w:tc>
        <w:tc>
          <w:tcPr>
            <w:tcW w:type="dxa" w:w="5040"/>
            <w:vAlign w:val="center"/>
            <w:tcMar>
              <w:top w:w="80" w:type="dxa"/>
              <w:start w:w="120" w:type="dxa"/>
              <w:bottom w:w="80" w:type="dxa"/>
              <w:end w:w="120" w:type="dxa"/>
            </w:tcMar>
          </w:tcPr>
          <w:p>
            <w:pPr>
              <w:spacing w:after="0"/>
            </w:pPr>
            <w:r>
              <w:rPr>
                <w:sz w:val="20"/>
              </w:rPr>
              <w:t>Material released within 7 days of notice to proceed</w:t>
            </w:r>
          </w:p>
        </w:tc>
      </w:tr>
      <w:tr>
        <w:tc>
          <w:tcPr>
            <w:tcW w:type="dxa" w:w="5040"/>
            <w:vAlign w:val="center"/>
            <w:tcMar>
              <w:top w:w="80" w:type="dxa"/>
              <w:start w:w="120" w:type="dxa"/>
              <w:bottom w:w="80" w:type="dxa"/>
              <w:end w:w="120" w:type="dxa"/>
            </w:tcMar>
            <w:shd w:fill="F3F6F8"/>
          </w:tcPr>
          <w:p>
            <w:pPr>
              <w:spacing w:after="0"/>
            </w:pPr>
            <w:r>
              <w:rPr>
                <w:b/>
                <w:sz w:val="20"/>
              </w:rPr>
              <w:t>Exclusions</w:t>
            </w:r>
          </w:p>
        </w:tc>
        <w:tc>
          <w:tcPr>
            <w:tcW w:type="dxa" w:w="5040"/>
            <w:vAlign w:val="center"/>
            <w:tcMar>
              <w:top w:w="80" w:type="dxa"/>
              <w:start w:w="120" w:type="dxa"/>
              <w:bottom w:w="80" w:type="dxa"/>
              <w:end w:w="120" w:type="dxa"/>
            </w:tcMar>
          </w:tcPr>
          <w:p>
            <w:pPr>
              <w:spacing w:after="0"/>
            </w:pPr>
            <w:r>
              <w:rPr>
                <w:sz w:val="20"/>
              </w:rPr>
              <w:t>Temporary heat, off-hour work, structural steel repair, concealed deck replacement beyond 120 sq. ft.</w:t>
            </w:r>
          </w:p>
        </w:tc>
      </w:tr>
    </w:tbl>
    <w:p>
      <w:pPr>
        <w:pStyle w:val="Heading1"/>
      </w:pPr>
      <w:r>
        <w:rPr>
          <w:color w:val="7A1F1F"/>
          <w:sz w:val="28"/>
        </w:rPr>
        <w:t>Scope Narrative</w:t>
      </w:r>
    </w:p>
    <w:p>
      <w:pPr>
        <w:spacing w:after="120" w:line="259" w:lineRule="auto"/>
      </w:pPr>
      <w:r>
        <w:rPr>
          <w:sz w:val="21"/>
        </w:rPr>
        <w:t>Remove and replace designated membrane roofing areas, install flashing accessories, coordinate crane picks, and provide daily cleanup. Work is based on the drawings dated January 12, 2026 and site walk performed February 3, 2026.</w:t>
      </w:r>
    </w:p>
    <w:p>
      <w:pPr>
        <w:pStyle w:val="Heading1"/>
      </w:pPr>
      <w:r>
        <w:rPr>
          <w:color w:val="7A1F1F"/>
          <w:sz w:val="28"/>
        </w:rPr>
        <w:t>Commercial Conditions</w:t>
      </w:r>
    </w:p>
    <w:p>
      <w:pPr>
        <w:pStyle w:val="ListBullet"/>
      </w:pPr>
      <w:r>
        <w:rPr>
          <w:sz w:val="20"/>
        </w:rPr>
        <w:t>Payment terms: Net 30 from invoice date; unpaid balances accrue service charge of 1.5% per month.</w:t>
      </w:r>
    </w:p>
    <w:p>
      <w:pPr>
        <w:pStyle w:val="ListBullet"/>
      </w:pPr>
      <w:r>
        <w:rPr>
          <w:sz w:val="20"/>
        </w:rPr>
        <w:t>Retention shall not exceed 5%.</w:t>
      </w:r>
    </w:p>
    <w:p>
      <w:pPr>
        <w:pStyle w:val="ListBullet"/>
      </w:pPr>
      <w:r>
        <w:rPr>
          <w:sz w:val="20"/>
        </w:rPr>
        <w:t>Price includes one mobilization and one final demobilization; multiple mobilizations billed at cost plus 15%.</w:t>
      </w:r>
    </w:p>
    <w:p>
      <w:pPr>
        <w:pStyle w:val="ListBullet"/>
      </w:pPr>
      <w:r>
        <w:rPr>
          <w:sz w:val="20"/>
        </w:rPr>
        <w:t>Any owner-directed or field-directed extra work may proceed upon verbal authorization from superintendent, with ticket signed same day.</w:t>
      </w:r>
    </w:p>
    <w:p>
      <w:pPr>
        <w:pStyle w:val="ListBullet"/>
      </w:pPr>
      <w:r>
        <w:rPr>
          <w:sz w:val="20"/>
        </w:rPr>
        <w:t>Warranty: one-year workmanship warranty from ABC Roofing substantial completion.</w:t>
      </w:r>
    </w:p>
    <w:p>
      <w:pPr>
        <w:pStyle w:val="Heading1"/>
      </w:pPr>
      <w:r>
        <w:rPr>
          <w:color w:val="7A1F1F"/>
          <w:sz w:val="28"/>
        </w:rPr>
        <w:t>Insurance Summary Provided by ABC Roofing</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5040"/>
            <w:vAlign w:val="center"/>
            <w:tcMar>
              <w:top w:w="80" w:type="dxa"/>
              <w:start w:w="120" w:type="dxa"/>
              <w:bottom w:w="80" w:type="dxa"/>
              <w:end w:w="120" w:type="dxa"/>
            </w:tcMar>
            <w:shd w:fill="7A1F1F"/>
          </w:tcPr>
          <w:p>
            <w:pPr>
              <w:spacing w:after="0"/>
              <w:jc w:val="center"/>
            </w:pPr>
            <w:r>
              <w:rPr>
                <w:b/>
                <w:color w:val="FFFFFF"/>
                <w:sz w:val="19"/>
              </w:rPr>
              <w:t>Coverage</w:t>
            </w:r>
          </w:p>
        </w:tc>
        <w:tc>
          <w:tcPr>
            <w:tcW w:type="dxa" w:w="5040"/>
            <w:vAlign w:val="center"/>
            <w:tcMar>
              <w:top w:w="80" w:type="dxa"/>
              <w:start w:w="120" w:type="dxa"/>
              <w:bottom w:w="80" w:type="dxa"/>
              <w:end w:w="120" w:type="dxa"/>
            </w:tcMar>
            <w:shd w:fill="7A1F1F"/>
          </w:tcPr>
          <w:p>
            <w:pPr>
              <w:spacing w:after="0"/>
              <w:jc w:val="center"/>
            </w:pPr>
            <w:r>
              <w:rPr>
                <w:b/>
                <w:color w:val="FFFFFF"/>
                <w:sz w:val="19"/>
              </w:rPr>
              <w:t>ABC Roofing Stated Limit</w:t>
            </w:r>
          </w:p>
        </w:tc>
      </w:tr>
      <w:tr>
        <w:tc>
          <w:tcPr>
            <w:tcW w:type="dxa" w:w="5040"/>
            <w:vAlign w:val="center"/>
            <w:tcMar>
              <w:top w:w="80" w:type="dxa"/>
              <w:start w:w="120" w:type="dxa"/>
              <w:bottom w:w="80" w:type="dxa"/>
              <w:end w:w="120" w:type="dxa"/>
            </w:tcMar>
          </w:tcPr>
          <w:p>
            <w:pPr>
              <w:spacing w:after="0"/>
            </w:pPr>
            <w:r>
              <w:rPr>
                <w:sz w:val="19"/>
              </w:rPr>
              <w:t>Commercial General Liability</w:t>
            </w:r>
          </w:p>
        </w:tc>
        <w:tc>
          <w:tcPr>
            <w:tcW w:type="dxa" w:w="5040"/>
            <w:vAlign w:val="center"/>
            <w:tcMar>
              <w:top w:w="80" w:type="dxa"/>
              <w:start w:w="120" w:type="dxa"/>
              <w:bottom w:w="80" w:type="dxa"/>
              <w:end w:w="120" w:type="dxa"/>
            </w:tcMar>
          </w:tcPr>
          <w:p>
            <w:pPr>
              <w:spacing w:after="0"/>
            </w:pPr>
            <w:r>
              <w:rPr>
                <w:sz w:val="19"/>
              </w:rPr>
              <w:t>$1,000,000 / $2,000,000 aggregate</w:t>
            </w:r>
          </w:p>
        </w:tc>
      </w:tr>
      <w:tr>
        <w:tc>
          <w:tcPr>
            <w:tcW w:type="dxa" w:w="5040"/>
            <w:vAlign w:val="center"/>
            <w:tcMar>
              <w:top w:w="80" w:type="dxa"/>
              <w:start w:w="120" w:type="dxa"/>
              <w:bottom w:w="80" w:type="dxa"/>
              <w:end w:w="120" w:type="dxa"/>
            </w:tcMar>
          </w:tcPr>
          <w:p>
            <w:pPr>
              <w:spacing w:after="0"/>
            </w:pPr>
            <w:r>
              <w:rPr>
                <w:sz w:val="19"/>
              </w:rPr>
              <w:t>Automobile Liability</w:t>
            </w:r>
          </w:p>
        </w:tc>
        <w:tc>
          <w:tcPr>
            <w:tcW w:type="dxa" w:w="5040"/>
            <w:vAlign w:val="center"/>
            <w:tcMar>
              <w:top w:w="80" w:type="dxa"/>
              <w:start w:w="120" w:type="dxa"/>
              <w:bottom w:w="80" w:type="dxa"/>
              <w:end w:w="120" w:type="dxa"/>
            </w:tcMar>
          </w:tcPr>
          <w:p>
            <w:pPr>
              <w:spacing w:after="0"/>
            </w:pPr>
            <w:r>
              <w:rPr>
                <w:sz w:val="19"/>
              </w:rPr>
              <w:t>$500,000 combined single limit</w:t>
            </w:r>
          </w:p>
        </w:tc>
      </w:tr>
      <w:tr>
        <w:tc>
          <w:tcPr>
            <w:tcW w:type="dxa" w:w="5040"/>
            <w:vAlign w:val="center"/>
            <w:tcMar>
              <w:top w:w="80" w:type="dxa"/>
              <w:start w:w="120" w:type="dxa"/>
              <w:bottom w:w="80" w:type="dxa"/>
              <w:end w:w="120" w:type="dxa"/>
            </w:tcMar>
          </w:tcPr>
          <w:p>
            <w:pPr>
              <w:spacing w:after="0"/>
            </w:pPr>
            <w:r>
              <w:rPr>
                <w:sz w:val="19"/>
              </w:rPr>
              <w:t>Workers’ Compensation</w:t>
            </w:r>
          </w:p>
        </w:tc>
        <w:tc>
          <w:tcPr>
            <w:tcW w:type="dxa" w:w="5040"/>
            <w:vAlign w:val="center"/>
            <w:tcMar>
              <w:top w:w="80" w:type="dxa"/>
              <w:start w:w="120" w:type="dxa"/>
              <w:bottom w:w="80" w:type="dxa"/>
              <w:end w:w="120" w:type="dxa"/>
            </w:tcMar>
          </w:tcPr>
          <w:p>
            <w:pPr>
              <w:spacing w:after="0"/>
            </w:pPr>
            <w:r>
              <w:rPr>
                <w:sz w:val="19"/>
              </w:rPr>
              <w:t>Statutory</w:t>
            </w:r>
          </w:p>
        </w:tc>
      </w:tr>
      <w:tr>
        <w:tc>
          <w:tcPr>
            <w:tcW w:type="dxa" w:w="5040"/>
            <w:vAlign w:val="center"/>
            <w:tcMar>
              <w:top w:w="80" w:type="dxa"/>
              <w:start w:w="120" w:type="dxa"/>
              <w:bottom w:w="80" w:type="dxa"/>
              <w:end w:w="120" w:type="dxa"/>
            </w:tcMar>
          </w:tcPr>
          <w:p>
            <w:pPr>
              <w:spacing w:after="0"/>
            </w:pPr>
            <w:r>
              <w:rPr>
                <w:sz w:val="19"/>
              </w:rPr>
              <w:t>Umbrella</w:t>
            </w:r>
          </w:p>
        </w:tc>
        <w:tc>
          <w:tcPr>
            <w:tcW w:type="dxa" w:w="5040"/>
            <w:vAlign w:val="center"/>
            <w:tcMar>
              <w:top w:w="80" w:type="dxa"/>
              <w:start w:w="120" w:type="dxa"/>
              <w:bottom w:w="80" w:type="dxa"/>
              <w:end w:w="120" w:type="dxa"/>
            </w:tcMar>
          </w:tcPr>
          <w:p>
            <w:pPr>
              <w:spacing w:after="0"/>
            </w:pPr>
            <w:r>
              <w:rPr>
                <w:sz w:val="19"/>
              </w:rPr>
              <w:t>$2,000,000</w:t>
            </w:r>
          </w:p>
        </w:tc>
      </w:tr>
    </w:tbl>
    <w:p>
      <w:pPr>
        <w:pStyle w:val="Heading1"/>
      </w:pPr>
      <w:r>
        <w:rPr>
          <w:color w:val="7A1F1F"/>
          <w:sz w:val="28"/>
        </w:rPr>
        <w:t>Special Notes</w:t>
      </w:r>
    </w:p>
    <w:p>
      <w:pPr>
        <w:spacing w:after="120" w:line="259" w:lineRule="auto"/>
      </w:pPr>
      <w:r>
        <w:rPr>
          <w:sz w:val="21"/>
        </w:rPr>
        <w:t>This proposal is expressly conditioned on ABC Roofing standard terms and supersedes any conflicting language in purchase orders or subcontract exhibits unless separately initialed.</w:t>
      </w:r>
    </w:p>
    <w:p>
      <w:pPr>
        <w:spacing w:after="120" w:line="259" w:lineRule="auto"/>
      </w:pPr>
      <w:r>
        <w:rPr>
          <w:sz w:val="21"/>
        </w:rPr>
        <w:t>Synthetic drafting note: this clause is intentionally non-standard for contract-comparison testing.</w:t>
      </w:r>
    </w:p>
    <w:sectPr w:rsidR="00FC693F" w:rsidRPr="0006063C" w:rsidSect="00034616">
      <w:footerReference w:type="default" r:id="rId9"/>
      <w:pgSz w:w="12240" w:h="15840"/>
      <w:pgMar w:top="864"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Synthetic vendor proposal for AI extraction/comparison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