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2F3E6B"/>
          <w:left w:val="single" w:sz="6" w:space="0" w:color="2F3E6B"/>
          <w:bottom w:val="single" w:sz="6" w:space="0" w:color="2F3E6B"/>
          <w:right w:val="single" w:sz="6" w:space="0" w:color="2F3E6B"/>
          <w:insideH w:val="single" w:sz="6" w:space="0" w:color="2F3E6B"/>
          <w:insideV w:val="single" w:sz="6" w:space="0" w:color="2F3E6B"/>
        </w:tblBorders>
      </w:tblPr>
      <w:tblGrid>
        <w:gridCol w:w="9936"/>
      </w:tblGrid>
      <w:tr>
        <w:tc>
          <w:tcPr>
            <w:tcW w:type="dxa" w:w="9936"/>
            <w:shd w:fill="2F3E6B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MIDWEST MECHANICAL SERVICES</w:t>
            </w:r>
          </w:p>
          <w:p>
            <w:r>
              <w:rPr>
                <w:i/>
                <w:color w:val="F0F0F0"/>
                <w:sz w:val="20"/>
              </w:rPr>
              <w:t>Master Services Agreement + Work Authorization Form</w:t>
            </w:r>
          </w:p>
        </w:tc>
      </w:tr>
    </w:tbl>
    <w:p>
      <w:pPr>
        <w:pStyle w:val="Heading1"/>
      </w:pPr>
      <w:r>
        <w:rPr>
          <w:color w:val="2F3E6B"/>
          <w:sz w:val="28"/>
        </w:rPr>
        <w:t>Master Agreement Snapshot</w:t>
      </w:r>
    </w:p>
    <w:p>
      <w:pPr>
        <w:spacing w:after="120" w:line="259" w:lineRule="auto"/>
      </w:pPr>
      <w:r>
        <w:rPr>
          <w:sz w:val="21"/>
        </w:rPr>
        <w:t>This Master Services Agreement ("MSA") is made between Midwest Mechanical Services, LLC ("Contractor") and O’Neill Contractors, Inc. ("Customer") for project support related to North Shore Federal Operations Center – Envelope &amp; MEP Upgrades.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3E6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3E6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MMS Standard Language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3E6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Potential Review Note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Compensation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Time and material basis; labor billed per attached rate sheet plus materials at cost + 18%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Different pricing model from lump sum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Payment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Invoices due 15 days from receipt; disputed items must be noticed within 5 days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More aggressive payment window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Change Work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Field changes may be directed by email from PM or superintendent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Written CO form not required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Indemnity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Mutual negligence-based indemnity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May be narrower than GC downstream standard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Warranty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12 months from service completion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Shorter than O’Neill standard subcontract warranty</w:t>
            </w:r>
          </w:p>
        </w:tc>
      </w:tr>
    </w:tbl>
    <w:p>
      <w:pPr>
        <w:pStyle w:val="Heading1"/>
      </w:pPr>
      <w:r>
        <w:rPr>
          <w:color w:val="2F3E6B"/>
          <w:sz w:val="28"/>
        </w:rPr>
        <w:t>Attached Rate Sheet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3E6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Labor Classification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3E6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Standard Rate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3E6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OT Rate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F3E6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Min. Hours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Project Manager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$138/hr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$207/hr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Journeyman HVAC Tech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$112/hr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$168/hr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Pipefitter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$109/hr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$163.50/hr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Controls Technician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$126/hr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$189/hr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</w:tr>
    </w:tbl>
    <w:p>
      <w:pPr>
        <w:pStyle w:val="Heading1"/>
      </w:pPr>
      <w:r>
        <w:rPr>
          <w:color w:val="2F3E6B"/>
          <w:sz w:val="28"/>
        </w:rPr>
        <w:t>Insurance Certificate Summary Submitted</w:t>
      </w:r>
    </w:p>
    <w:p>
      <w:pPr>
        <w:pStyle w:val="ListBullet"/>
      </w:pPr>
      <w:r>
        <w:rPr>
          <w:sz w:val="20"/>
        </w:rPr>
        <w:t>General liability: $1M / $2M</w:t>
      </w:r>
    </w:p>
    <w:p>
      <w:pPr>
        <w:pStyle w:val="ListBullet"/>
      </w:pPr>
      <w:r>
        <w:rPr>
          <w:sz w:val="20"/>
        </w:rPr>
        <w:t>Auto liability: $1M</w:t>
      </w:r>
    </w:p>
    <w:p>
      <w:pPr>
        <w:pStyle w:val="ListBullet"/>
      </w:pPr>
      <w:r>
        <w:rPr>
          <w:sz w:val="20"/>
        </w:rPr>
        <w:t>Workers’ compensation: statutory / employer’s liability $500K</w:t>
      </w:r>
    </w:p>
    <w:p>
      <w:pPr>
        <w:pStyle w:val="ListBullet"/>
      </w:pPr>
      <w:r>
        <w:rPr>
          <w:sz w:val="20"/>
        </w:rPr>
        <w:t>Umbrella: $3M</w:t>
      </w:r>
    </w:p>
    <w:p>
      <w:pPr>
        <w:pStyle w:val="ListBullet"/>
      </w:pPr>
      <w:r>
        <w:rPr>
          <w:sz w:val="20"/>
        </w:rPr>
        <w:t>Additional insured endorsement: ongoing operations only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Synthetic mechanical services MSA for demo/testing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