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</w:tblPr>
      <w:tblGrid>
        <w:gridCol w:w="10368"/>
      </w:tblGrid>
      <w:tr>
        <w:tc>
          <w:tcPr>
            <w:tcW w:type="dxa" w:w="10368"/>
            <w:shd w:fill="404040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O’NEILL CONTRACTORS – INSURANCE REQUIREMENTS SHEET</w:t>
            </w:r>
          </w:p>
          <w:p>
            <w:r>
              <w:rPr>
                <w:i/>
                <w:color w:val="F0F0F0"/>
                <w:sz w:val="20"/>
              </w:rPr>
              <w:t>Downstream subcontractor / vendor onboarding checklist</w:t>
            </w:r>
          </w:p>
        </w:tc>
      </w:tr>
    </w:tbl>
    <w:p>
      <w:pPr>
        <w:spacing w:before="40" w:after="160"/>
      </w:pPr>
      <w:r>
        <w:rPr>
          <w:i/>
          <w:color w:val="6E6E6E"/>
          <w:sz w:val="18"/>
        </w:rPr>
        <w:t>Synthetic internal form modeled for AI extraction. Use this as the internal benchmark against which supplier submissions can be checked.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0404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0404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0404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Evidence Needed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0404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Certificate of Insurance current through projected completion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ACORD certificate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Additional insured – ongoing operations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CG 20 10 equivalent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Additional insured – completed operations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CG 20 37 equivalent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&amp; non-contributory wording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Endorsement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Waiver of subrogation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Endorsement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General liability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$1M / $2M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Policy schedule or cert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Auto liability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$1M CSL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Policy schedule or cert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Umbrella / excess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$5M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Policy schedule or cert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Workers comp / employer’s liability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Statutory / $1M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Policy schedule or cert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Pending</w:t>
            </w:r>
          </w:p>
        </w:tc>
      </w:tr>
    </w:tbl>
    <w:p>
      <w:pPr>
        <w:pStyle w:val="Heading1"/>
      </w:pPr>
      <w:r>
        <w:rPr>
          <w:color w:val="404040"/>
          <w:sz w:val="28"/>
        </w:rPr>
        <w:t>Intake Notes</w:t>
      </w:r>
    </w:p>
    <w:p>
      <w:pPr>
        <w:pStyle w:val="ListBullet"/>
      </w:pPr>
      <w:r>
        <w:rPr>
          <w:sz w:val="20"/>
        </w:rPr>
        <w:t>No mobilization until insurance package is complete and approved.</w:t>
      </w:r>
    </w:p>
    <w:p>
      <w:pPr>
        <w:pStyle w:val="ListBullet"/>
      </w:pPr>
      <w:r>
        <w:rPr>
          <w:sz w:val="20"/>
        </w:rPr>
        <w:t>Any exception to the umbrella limit or endorsement language requires management approval.</w:t>
      </w:r>
    </w:p>
    <w:p>
      <w:pPr>
        <w:pStyle w:val="ListBullet"/>
      </w:pPr>
      <w:r>
        <w:rPr>
          <w:sz w:val="20"/>
        </w:rPr>
        <w:t>Vendor terms stating “certificate for information only” should be flagged for follow-up.</w:t>
      </w:r>
    </w:p>
    <w:sectPr w:rsidR="00FC693F" w:rsidRPr="0006063C" w:rsidSect="00034616">
      <w:footerReference w:type="default" r:id="rId9"/>
      <w:pgSz w:w="12240" w:h="15840"/>
      <w:pgMar w:top="792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internal insurance requirement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