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8A6D1A"/>
          <w:left w:val="single" w:sz="6" w:space="0" w:color="8A6D1A"/>
          <w:bottom w:val="single" w:sz="6" w:space="0" w:color="8A6D1A"/>
          <w:right w:val="single" w:sz="6" w:space="0" w:color="8A6D1A"/>
          <w:insideH w:val="single" w:sz="6" w:space="0" w:color="8A6D1A"/>
          <w:insideV w:val="single" w:sz="6" w:space="0" w:color="8A6D1A"/>
        </w:tblBorders>
      </w:tblPr>
      <w:tblGrid>
        <w:gridCol w:w="10080"/>
      </w:tblGrid>
      <w:tr>
        <w:tc>
          <w:tcPr>
            <w:tcW w:type="dxa" w:w="10080"/>
            <w:shd w:fill="8A6D1A"/>
            <w:tcMar>
              <w:top w:w="180" w:type="dxa"/>
              <w:start w:w="180" w:type="dxa"/>
              <w:bottom w:w="180" w:type="dxa"/>
              <w:end w:w="18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34"/>
              </w:rPr>
              <w:t>CERTIFICATE TRANSMITTAL + COVERAGE EXCEPTIONS</w:t>
            </w:r>
          </w:p>
          <w:p>
            <w:r>
              <w:rPr>
                <w:i/>
                <w:color w:val="F0F0F0"/>
                <w:sz w:val="20"/>
              </w:rPr>
              <w:t>Submitted by Prairie Risk Advisors on behalf of ABC Roofing</w:t>
            </w:r>
          </w:p>
        </w:tc>
      </w:tr>
    </w:tbl>
    <w:p>
      <w:pPr>
        <w:spacing w:after="120" w:line="259" w:lineRule="auto"/>
      </w:pPr>
      <w:r>
        <w:rPr>
          <w:sz w:val="21"/>
        </w:rPr>
        <w:t>Insured: ABC Roofing &amp; Sheet Metal, LLC</w:t>
      </w:r>
    </w:p>
    <w:p>
      <w:pPr>
        <w:spacing w:after="120" w:line="259" w:lineRule="auto"/>
      </w:pPr>
      <w:r>
        <w:rPr>
          <w:sz w:val="21"/>
        </w:rPr>
        <w:t>Certificate Holder: O’Neill Contractors, Inc.</w:t>
      </w:r>
    </w:p>
    <w:p>
      <w:pPr>
        <w:spacing w:after="120" w:line="259" w:lineRule="auto"/>
      </w:pPr>
      <w:r>
        <w:rPr>
          <w:sz w:val="21"/>
        </w:rPr>
        <w:t>Related Project: North Shore Federal Operations Center – Envelope &amp; MEP Upgrades</w:t>
      </w:r>
    </w:p>
    <w:p>
      <w:pPr>
        <w:pStyle w:val="Heading1"/>
      </w:pPr>
      <w:r>
        <w:rPr>
          <w:color w:val="8A6D1A"/>
          <w:sz w:val="28"/>
        </w:rPr>
        <w:t>Coverage Snapshot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8A6D1A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Coverage Type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8A6D1A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Limit Provided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8A6D1A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Comment</w:t>
            </w:r>
          </w:p>
        </w:tc>
      </w:tr>
      <w:tr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General Liability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$1M each occurrence / $2M aggregate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Additional insured available by endorsement</w:t>
            </w:r>
          </w:p>
        </w:tc>
      </w:tr>
      <w:tr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Auto Liability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$500K CSL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Lower than requested benchmark</w:t>
            </w:r>
          </w:p>
        </w:tc>
      </w:tr>
      <w:tr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Workers’ Compensation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Statutory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Employer’s liability $500K</w:t>
            </w:r>
          </w:p>
        </w:tc>
      </w:tr>
      <w:tr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Umbrella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$2M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Below requested $5M</w:t>
            </w:r>
          </w:p>
        </w:tc>
      </w:tr>
    </w:tbl>
    <w:p>
      <w:pPr>
        <w:pStyle w:val="Heading1"/>
      </w:pPr>
      <w:r>
        <w:rPr>
          <w:color w:val="8A6D1A"/>
          <w:sz w:val="28"/>
        </w:rPr>
        <w:t>Exceptions and Limitations</w:t>
      </w:r>
    </w:p>
    <w:p>
      <w:pPr>
        <w:pStyle w:val="ListBullet"/>
      </w:pPr>
      <w:r>
        <w:rPr>
          <w:sz w:val="20"/>
        </w:rPr>
        <w:t>Completed operations additional insured endorsement not presently included.</w:t>
      </w:r>
    </w:p>
    <w:p>
      <w:pPr>
        <w:pStyle w:val="ListBullet"/>
      </w:pPr>
      <w:r>
        <w:rPr>
          <w:sz w:val="20"/>
        </w:rPr>
        <w:t>Primary and non-contributory wording available only upon carrier approval.</w:t>
      </w:r>
    </w:p>
    <w:p>
      <w:pPr>
        <w:pStyle w:val="ListBullet"/>
      </w:pPr>
      <w:r>
        <w:rPr>
          <w:sz w:val="20"/>
        </w:rPr>
        <w:t>Waiver of subrogation endorsement can be added for additional premium.</w:t>
      </w:r>
    </w:p>
    <w:p>
      <w:pPr>
        <w:pStyle w:val="ListBullet"/>
      </w:pPr>
      <w:r>
        <w:rPr>
          <w:sz w:val="20"/>
        </w:rPr>
        <w:t>Certificate is issued as a matter of information only and confers no rights upon the certificate holder.</w:t>
      </w:r>
    </w:p>
    <w:p>
      <w:pPr>
        <w:pStyle w:val="Heading1"/>
      </w:pPr>
      <w:r>
        <w:rPr>
          <w:color w:val="8A6D1A"/>
          <w:sz w:val="28"/>
        </w:rPr>
        <w:t>Broker Request</w:t>
      </w:r>
    </w:p>
    <w:p>
      <w:pPr>
        <w:spacing w:after="120" w:line="259" w:lineRule="auto"/>
      </w:pPr>
      <w:r>
        <w:rPr>
          <w:sz w:val="21"/>
        </w:rPr>
        <w:t>Please advise whether the project can proceed subject to post-award endorsement collection, or whether revised insurance is required prior to notice to proceed.</w:t>
      </w:r>
    </w:p>
    <w:sectPr w:rsidR="00FC693F" w:rsidRPr="0006063C" w:rsidSect="00034616">
      <w:footerReference w:type="default" r:id="rId9"/>
      <w:pgSz w:w="12240" w:h="15840"/>
      <w:pgMar w:top="864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Synthetic insurance exception memo for AI review testing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365F91" w:themeColor="accent1" w:themeShade="BF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Calibr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 w:eastAsia="Calibri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