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545B77"/>
          <w:left w:val="single" w:sz="6" w:space="0" w:color="545B77"/>
          <w:bottom w:val="single" w:sz="6" w:space="0" w:color="545B77"/>
          <w:right w:val="single" w:sz="6" w:space="0" w:color="545B77"/>
          <w:insideH w:val="single" w:sz="6" w:space="0" w:color="545B77"/>
          <w:insideV w:val="single" w:sz="6" w:space="0" w:color="545B77"/>
        </w:tblBorders>
      </w:tblPr>
      <w:tblGrid>
        <w:gridCol w:w="10512"/>
      </w:tblGrid>
      <w:tr>
        <w:tc>
          <w:tcPr>
            <w:tcW w:type="dxa" w:w="10512"/>
            <w:shd w:fill="545B77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34"/>
              </w:rPr>
              <w:t>CHANGE ORDER / EXTRA WORK AUTHORIZATION</w:t>
            </w:r>
          </w:p>
          <w:p>
            <w:r>
              <w:rPr>
                <w:i/>
                <w:color w:val="F0F0F0"/>
                <w:sz w:val="20"/>
              </w:rPr>
              <w:t>O’Neill Contractors, Inc. internal project control form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545B77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Control Field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545B77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Entry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b/>
                <w:sz w:val="20"/>
              </w:rPr>
              <w:t>Project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North Shore Federal Operations Center – Envelope &amp; MEP Upgrades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b/>
                <w:sz w:val="20"/>
              </w:rPr>
              <w:t>Subcontract / Vendor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ABC Roofing &amp; Sheet Metal, LLC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b/>
                <w:sz w:val="20"/>
              </w:rPr>
              <w:t>Reference No.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COR-019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b/>
                <w:sz w:val="20"/>
              </w:rPr>
              <w:t>Requested By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Project Manager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March 18, 2026</w:t>
            </w:r>
          </w:p>
        </w:tc>
      </w:tr>
      <w:tr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6F8"/>
          </w:tcPr>
          <w:p>
            <w:pPr>
              <w:spacing w:after="0"/>
            </w:pPr>
            <w:r>
              <w:rPr>
                <w:b/>
                <w:sz w:val="20"/>
              </w:rPr>
              <w:t>Pricing Basis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Lump sum with backup</w:t>
            </w:r>
          </w:p>
        </w:tc>
      </w:tr>
    </w:tbl>
    <w:p>
      <w:pPr>
        <w:pStyle w:val="Heading1"/>
      </w:pPr>
      <w:r>
        <w:rPr>
          <w:color w:val="545B77"/>
          <w:sz w:val="28"/>
        </w:rPr>
        <w:t>Description of Change</w:t>
      </w:r>
    </w:p>
    <w:p>
      <w:pPr>
        <w:spacing w:after="120" w:line="259" w:lineRule="auto"/>
      </w:pPr>
      <w:r>
        <w:rPr>
          <w:sz w:val="21"/>
        </w:rPr>
        <w:t>Replace deteriorated metal edge and add 280 LF of coping beyond base bid assumption following concealed substrate discovery.</w:t>
      </w:r>
    </w:p>
    <w:p>
      <w:pPr>
        <w:pStyle w:val="Heading1"/>
      </w:pPr>
      <w:r>
        <w:rPr>
          <w:color w:val="545B77"/>
          <w:sz w:val="28"/>
        </w:rPr>
        <w:t>Required Attachments</w:t>
      </w:r>
    </w:p>
    <w:p>
      <w:pPr>
        <w:pStyle w:val="ListBullet"/>
      </w:pPr>
      <w:r>
        <w:rPr>
          <w:sz w:val="20"/>
        </w:rPr>
        <w:t>Labor breakout by classification and hours</w:t>
      </w:r>
    </w:p>
    <w:p>
      <w:pPr>
        <w:pStyle w:val="ListBullet"/>
      </w:pPr>
      <w:r>
        <w:rPr>
          <w:sz w:val="20"/>
        </w:rPr>
        <w:t>Material invoices / quotations</w:t>
      </w:r>
    </w:p>
    <w:p>
      <w:pPr>
        <w:pStyle w:val="ListBullet"/>
      </w:pPr>
      <w:r>
        <w:rPr>
          <w:sz w:val="20"/>
        </w:rPr>
        <w:t>Schedule impact statement</w:t>
      </w:r>
    </w:p>
    <w:p>
      <w:pPr>
        <w:pStyle w:val="ListBullet"/>
      </w:pPr>
      <w:r>
        <w:rPr>
          <w:sz w:val="20"/>
        </w:rPr>
        <w:t>Mark-up per subcontract terms</w:t>
      </w:r>
    </w:p>
    <w:p>
      <w:pPr>
        <w:pStyle w:val="ListBullet"/>
      </w:pPr>
      <w:r>
        <w:rPr>
          <w:sz w:val="20"/>
        </w:rPr>
        <w:t>Written owner direction or internal approval reference</w:t>
      </w:r>
    </w:p>
    <w:p>
      <w:pPr>
        <w:pStyle w:val="Heading1"/>
      </w:pPr>
      <w:r>
        <w:rPr>
          <w:color w:val="545B77"/>
          <w:sz w:val="28"/>
        </w:rPr>
        <w:t>Approval Logic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545B77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Reviewer</w:t>
            </w:r>
          </w:p>
        </w:tc>
        <w:tc>
          <w:tcPr>
            <w:tcW w:type="dxa" w:w="2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545B77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2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545B77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545B77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Project Manager</w:t>
            </w:r>
          </w:p>
        </w:tc>
        <w:tc>
          <w:tcPr>
            <w:tcW w:type="dxa" w:w="2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Pending</w:t>
            </w:r>
          </w:p>
        </w:tc>
        <w:tc>
          <w:tcPr>
            <w:tcW w:type="dxa" w:w="2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Project Executive</w:t>
            </w:r>
          </w:p>
        </w:tc>
        <w:tc>
          <w:tcPr>
            <w:tcW w:type="dxa" w:w="2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Pending</w:t>
            </w:r>
          </w:p>
        </w:tc>
        <w:tc>
          <w:tcPr>
            <w:tcW w:type="dxa" w:w="2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Accounting / Controls</w:t>
            </w:r>
          </w:p>
        </w:tc>
        <w:tc>
          <w:tcPr>
            <w:tcW w:type="dxa" w:w="2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Pending</w:t>
            </w:r>
          </w:p>
        </w:tc>
        <w:tc>
          <w:tcPr>
            <w:tcW w:type="dxa" w:w="2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2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Owner (if required)</w:t>
            </w:r>
          </w:p>
        </w:tc>
        <w:tc>
          <w:tcPr>
            <w:tcW w:type="dxa" w:w="2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>Pending</w:t>
            </w:r>
          </w:p>
        </w:tc>
        <w:tc>
          <w:tcPr>
            <w:tcW w:type="dxa" w:w="2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type="dxa" w:w="2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</w:tbl>
    <w:p>
      <w:pPr>
        <w:pStyle w:val="Heading1"/>
      </w:pPr>
      <w:r>
        <w:rPr>
          <w:color w:val="545B77"/>
          <w:sz w:val="28"/>
        </w:rPr>
        <w:t>Policy Reminder</w:t>
      </w:r>
    </w:p>
    <w:p>
      <w:pPr>
        <w:spacing w:after="120" w:line="259" w:lineRule="auto"/>
      </w:pPr>
      <w:r>
        <w:rPr>
          <w:sz w:val="21"/>
        </w:rPr>
        <w:t>Except for emergency life-safety conditions, extra work is not authorized to proceed until this form is approved in writing.</w:t>
      </w:r>
    </w:p>
    <w:sectPr w:rsidR="00FC693F" w:rsidRPr="0006063C" w:rsidSect="00034616">
      <w:footerReference w:type="default" r:id="rId9"/>
      <w:pgSz w:w="12240" w:h="15840"/>
      <w:pgMar w:top="720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Synthetic internal change-order form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 w:eastAsia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 w:eastAsia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