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14E10"/>
          <w:left w:val="single" w:sz="6" w:space="0" w:color="B14E10"/>
          <w:bottom w:val="single" w:sz="6" w:space="0" w:color="B14E10"/>
          <w:right w:val="single" w:sz="6" w:space="0" w:color="B14E10"/>
          <w:insideH w:val="single" w:sz="6" w:space="0" w:color="B14E10"/>
          <w:insideV w:val="single" w:sz="6" w:space="0" w:color="B14E10"/>
        </w:tblBorders>
      </w:tblPr>
      <w:tblGrid>
        <w:gridCol w:w="10224"/>
      </w:tblGrid>
      <w:tr>
        <w:tc>
          <w:tcPr>
            <w:tcW w:type="dxa" w:w="10224"/>
            <w:shd w:fill="B14E10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FIELD TICKET / CHANGE REQUEST</w:t>
            </w:r>
          </w:p>
          <w:p>
            <w:r>
              <w:rPr>
                <w:i/>
                <w:color w:val="F0F0F0"/>
                <w:sz w:val="20"/>
              </w:rPr>
              <w:t>ABC Roofing &amp; Sheet Metal, LLC</w:t>
            </w:r>
          </w:p>
        </w:tc>
      </w:tr>
    </w:tbl>
    <w:p>
      <w:pPr>
        <w:spacing w:before="40" w:after="160"/>
      </w:pPr>
      <w:r>
        <w:rPr>
          <w:i/>
          <w:color w:val="6E6E6E"/>
          <w:sz w:val="18"/>
        </w:rPr>
        <w:t>Synthetic vendor-generated field ticket. Intentionally lighter-weight than the GC’s internal approval form.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B14E1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Field Ticket No.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B14E1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FT-27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March 18, 2026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Issued To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O’Neill Superintendent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Subject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Additional coping / concealed edge metal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Requested Basis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Verbal field direction during roof tear-off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Estimated Value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$21,800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Pricing Backup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 follow</w:t>
            </w:r>
          </w:p>
        </w:tc>
      </w:tr>
    </w:tbl>
    <w:p>
      <w:pPr>
        <w:pStyle w:val="Heading1"/>
      </w:pPr>
      <w:r>
        <w:rPr>
          <w:color w:val="B14E10"/>
          <w:sz w:val="28"/>
        </w:rPr>
        <w:t>Narrative</w:t>
      </w:r>
    </w:p>
    <w:p>
      <w:pPr>
        <w:spacing w:after="120" w:line="259" w:lineRule="auto"/>
      </w:pPr>
      <w:r>
        <w:rPr>
          <w:sz w:val="21"/>
        </w:rPr>
        <w:t>During tear-off operations, ABC Roofing encountered deteriorated edge condition requiring additional coping profile, blocking adjustment, and supplemental labor. Work has proceeded in order to maintain dry-in sequence and avoid weather exposure.</w:t>
      </w:r>
    </w:p>
    <w:p>
      <w:pPr>
        <w:pStyle w:val="Heading1"/>
      </w:pPr>
      <w:r>
        <w:rPr>
          <w:color w:val="B14E10"/>
          <w:sz w:val="28"/>
        </w:rPr>
        <w:t>Vendor Position</w:t>
      </w:r>
    </w:p>
    <w:p>
      <w:pPr>
        <w:pStyle w:val="ListBullet"/>
      </w:pPr>
      <w:r>
        <w:rPr>
          <w:sz w:val="20"/>
        </w:rPr>
        <w:t>Work is being performed under field direction and should be treated as time-sensitive extra work.</w:t>
      </w:r>
    </w:p>
    <w:p>
      <w:pPr>
        <w:pStyle w:val="ListBullet"/>
      </w:pPr>
      <w:r>
        <w:rPr>
          <w:sz w:val="20"/>
        </w:rPr>
        <w:t>Pricing will be submitted after completion once exact quantities are confirmed.</w:t>
      </w:r>
    </w:p>
    <w:p>
      <w:pPr>
        <w:pStyle w:val="ListBullet"/>
      </w:pPr>
      <w:r>
        <w:rPr>
          <w:sz w:val="20"/>
        </w:rPr>
        <w:t>Any schedule extension associated with this condition should be evaluated separately.</w:t>
      </w:r>
    </w:p>
    <w:p>
      <w:pPr>
        <w:pStyle w:val="Heading1"/>
      </w:pPr>
      <w:r>
        <w:rPr>
          <w:color w:val="B14E10"/>
          <w:sz w:val="28"/>
        </w:rPr>
        <w:t>Signature 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B14E1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Name / Role</w:t>
            </w:r>
          </w:p>
        </w:tc>
        <w:tc>
          <w:tcPr>
            <w:tcW w:type="dxa" w:w="3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B14E1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B14E10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O’Neill Superintendent</w:t>
            </w:r>
          </w:p>
        </w:tc>
        <w:tc>
          <w:tcPr>
            <w:tcW w:type="dxa" w:w="3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field ticket for document-comparison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