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Proportion of significant subpathways within super-pathways (Male).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Super Pathway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Significant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Amino Acid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/ 16 (100%)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Energy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2 (100%)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Nucleotide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/ 8 (100%)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Partially Characterized Molecules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 (100%)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Xenobiotics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5 (100%)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Carbohydrate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/ 8 (87.5%)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Lipid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/ 53 (86.79%)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Cofactors and Vitamins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/ 11 (81.82%)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Peptide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5 (60%)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2023-07-14T15:31:50Z</dcterms:modified>
  <cp:category/>
</cp:coreProperties>
</file>