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Proportion of significant subpathways within super-pathways (Male).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Super Pathway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Significant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Amino Acid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/ 16 (100%)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Energy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2 (100%)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Nucleotide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/ 8 (100%)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Partially Characterized Molecules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 (100%)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Xenobiotics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5 (100%)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Carbohydrate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/ 8 (87.5%)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Lipid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/ 53 (86.79%)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Cofactors and Vitamins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/ 11 (81.82%)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Peptide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5 (60%)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2023-07-17T09:41:23Z</dcterms:modified>
  <cp:category/>
</cp:coreProperties>
</file>