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Proportion of significant subpathways within super-pathways (Male).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Super Pathway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Significant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Amino Acid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/ 16 (100%)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Energy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2 (100%)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Nucleotide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/ 8 (100%)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Partially Characterized Molecules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 (100%)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Xenobiotics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5 (100%)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Carbohydrate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/ 8 (87.5%)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Lipid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/ 53 (86.79%)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Cofactors and Vitamins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/ 11 (81.82%)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Peptide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5 (60%)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2023-07-12T17:03:38Z</dcterms:modified>
  <cp:category/>
</cp:coreProperties>
</file>