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80"/>
      </w:pPr>
      <w:r>
        <w:rPr>
          <w:rFonts w:ascii="Calibri" w:cs="Calibri" w:eastAsia="Calibri" w:hAnsi="Calibri"/>
          <w:b/>
          <w:bCs/>
          <w:color w:val="0B3D5C"/>
          <w:sz w:val="64"/>
          <w:szCs w:val="64"/>
        </w:rPr>
        <w:t xml:space="preserve">POPPILOT</w:t>
      </w:r>
    </w:p>
    <w:p>
      <w:pPr>
        <w:spacing w:after="320"/>
      </w:pPr>
      <w:r>
        <w:rPr>
          <w:rFonts w:ascii="Calibri" w:cs="Calibri" w:eastAsia="Calibri" w:hAnsi="Calibri"/>
          <w:color w:val="1B5E86"/>
          <w:sz w:val="34"/>
          <w:szCs w:val="34"/>
        </w:rPr>
        <w:t xml:space="preserve">Plateforme de pilotage MICROPOP</w:t>
      </w:r>
    </w:p>
    <w:p>
      <w:pPr>
        <w:pBdr>
          <w:top w:val="single" w:color="00AEEA" w:sz="12" w:space="12"/>
        </w:pBdr>
        <w:spacing w:after="480"/>
      </w:pPr>
    </w:p>
    <w:p>
      <w:pPr>
        <w:spacing w:after="120" w:line="276"/>
      </w:pPr>
      <w:r>
        <w:rPr>
          <w:rFonts w:ascii="Calibri" w:cs="Calibri" w:eastAsia="Calibri" w:hAnsi="Calibri"/>
          <w:b/>
          <w:bCs/>
          <w:color w:val="1F2A33"/>
          <w:sz w:val="24"/>
          <w:szCs w:val="24"/>
        </w:rPr>
        <w:t xml:space="preserve">Document de présentation générale</w:t>
      </w:r>
    </w:p>
    <w:p>
      <w:pPr>
        <w:spacing w:after="120" w:line="276"/>
      </w:pPr>
      <w:r>
        <w:rPr>
          <w:rFonts w:ascii="Calibri" w:cs="Calibri" w:eastAsia="Calibri" w:hAnsi="Calibri"/>
          <w:color w:val="58595B"/>
          <w:sz w:val="21"/>
          <w:szCs w:val="21"/>
        </w:rPr>
        <w:t xml:space="preserve">Objet, périmètre fonctionnel, architecture, garanties et perspectives</w:t>
      </w:r>
    </w:p>
    <w:p>
      <w:pPr>
        <w:spacing w:before="700"/>
      </w:pPr>
    </w:p>
    <w:p>
      <w:pPr>
        <w:spacing w:after="120" w:line="276"/>
      </w:pPr>
      <w:r>
        <w:rPr>
          <w:rFonts w:ascii="Calibri" w:cs="Calibri" w:eastAsia="Calibri" w:hAnsi="Calibri"/>
          <w:color w:val="58595B"/>
          <w:sz w:val="19"/>
          <w:szCs w:val="19"/>
        </w:rPr>
        <w:t xml:space="preserve">Destinataires : Direction générale · Direction administrative et financière · Contrôle de gestion · Audit interne</w:t>
      </w:r>
    </w:p>
    <w:p>
      <w:pPr>
        <w:spacing w:after="120" w:line="276"/>
      </w:pPr>
      <w:r>
        <w:rPr>
          <w:rFonts w:ascii="Calibri" w:cs="Calibri" w:eastAsia="Calibri" w:hAnsi="Calibri"/>
          <w:i/>
          <w:iCs/>
          <w:color w:val="00AEEA"/>
          <w:sz w:val="19"/>
          <w:szCs w:val="19"/>
        </w:rPr>
        <w:t xml:space="preserve">« Je rêve, je réalise »</w:t>
      </w:r>
    </w:p>
    <w:p>
      <w:r>
        <w:br w:type="page"/>
      </w:r>
    </w:p>
    <w:p>
      <w:pPr>
        <w:pStyle w:val="Heading1"/>
        <w:spacing w:after="180" w:before="360"/>
      </w:pPr>
      <w:r>
        <w:rPr>
          <w:rFonts w:ascii="Calibri" w:cs="Calibri" w:eastAsia="Calibri" w:hAnsi="Calibri"/>
          <w:b/>
          <w:bCs/>
          <w:color w:val="0B3D5C"/>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Calibri" w:cs="Calibri" w:eastAsia="Calibri" w:hAnsi="Calibri"/>
          <w:b/>
          <w:bCs/>
          <w:color w:val="0B3D5C"/>
          <w:sz w:val="30"/>
          <w:szCs w:val="30"/>
        </w:rPr>
        <w:t xml:space="preserve">1. Objet et raison d'être</w:t>
      </w:r>
    </w:p>
    <w:p>
      <w:pPr>
        <w:pStyle w:val="Heading2"/>
        <w:spacing w:after="140" w:before="280"/>
      </w:pPr>
      <w:r>
        <w:rPr>
          <w:rFonts w:ascii="Calibri" w:cs="Calibri" w:eastAsia="Calibri" w:hAnsi="Calibri"/>
          <w:b/>
          <w:bCs/>
          <w:color w:val="1B5E86"/>
          <w:sz w:val="25"/>
          <w:szCs w:val="25"/>
        </w:rPr>
        <w:t xml:space="preserve">1.1 Le point de départ</w:t>
      </w:r>
    </w:p>
    <w:p>
      <w:pPr>
        <w:spacing w:after="120" w:line="276"/>
      </w:pPr>
      <w:r>
        <w:rPr>
          <w:rFonts w:ascii="Calibri" w:cs="Calibri" w:eastAsia="Calibri" w:hAnsi="Calibri"/>
          <w:color w:val="1F2A33"/>
          <w:sz w:val="21"/>
          <w:szCs w:val="21"/>
        </w:rPr>
        <w:t xml:space="preserve">Le pilotage de MICROPOP repose aujourd'hui sur une constellation de fichiers Excel. Chaque domaine — crédit, épargne, comptabilité, budget, déclarations réglementaires — possède ses propres classeurs, ses propres formules et ses propres conventions. Le même indicateur peut y être calculé de deux façons différentes sans que rien ne le signale, et un chiffre publié ne peut pas toujours être refait à l'identique six mois plus tard.</w:t>
      </w:r>
    </w:p>
    <w:p>
      <w:pPr>
        <w:spacing w:after="120" w:line="276"/>
      </w:pPr>
      <w:r>
        <w:rPr>
          <w:rFonts w:ascii="Calibri" w:cs="Calibri" w:eastAsia="Calibri" w:hAnsi="Calibri"/>
          <w:color w:val="1F2A33"/>
          <w:sz w:val="21"/>
          <w:szCs w:val="21"/>
        </w:rPr>
        <w:t xml:space="preserve">Cette organisation a une qualité : elle fonctionne. Elle a trois défauts qui deviennent coûteux à mesure que l'institution grandit.</w:t>
      </w:r>
    </w:p>
    <w:p>
      <w:pPr>
        <w:pStyle w:val="ListParagraph"/>
        <w:numPr>
          <w:ilvl w:val="0"/>
          <w:numId w:val="2"/>
        </w:numPr>
        <w:spacing w:after="80" w:line="276"/>
      </w:pPr>
      <w:r>
        <w:rPr>
          <w:rFonts w:ascii="Calibri" w:cs="Calibri" w:eastAsia="Calibri" w:hAnsi="Calibri"/>
          <w:b/>
          <w:bCs/>
          <w:color w:val="1F2A33"/>
          <w:sz w:val="21"/>
          <w:szCs w:val="21"/>
        </w:rPr>
        <w:t xml:space="preserve">La cohérence n'est pas garantie</w:t>
      </w:r>
      <w:r>
        <w:rPr>
          <w:rFonts w:ascii="Calibri" w:cs="Calibri" w:eastAsia="Calibri" w:hAnsi="Calibri"/>
          <w:color w:val="1F2A33"/>
          <w:sz w:val="21"/>
          <w:szCs w:val="21"/>
        </w:rPr>
        <w:t xml:space="preserve"> — l'encours de crédit du tableau de bord, celui du bilan et celui de la déclaration BCC sont calculés séparément. Rien n'impose qu'ils coïncident.</w:t>
      </w:r>
    </w:p>
    <w:p>
      <w:pPr>
        <w:pStyle w:val="ListParagraph"/>
        <w:numPr>
          <w:ilvl w:val="0"/>
          <w:numId w:val="2"/>
        </w:numPr>
        <w:spacing w:after="80" w:line="276"/>
      </w:pPr>
      <w:r>
        <w:rPr>
          <w:rFonts w:ascii="Calibri" w:cs="Calibri" w:eastAsia="Calibri" w:hAnsi="Calibri"/>
          <w:b/>
          <w:bCs/>
          <w:color w:val="1F2A33"/>
          <w:sz w:val="21"/>
          <w:szCs w:val="21"/>
        </w:rPr>
        <w:t xml:space="preserve">L'historique se perd</w:t>
      </w:r>
      <w:r>
        <w:rPr>
          <w:rFonts w:ascii="Calibri" w:cs="Calibri" w:eastAsia="Calibri" w:hAnsi="Calibri"/>
          <w:color w:val="1F2A33"/>
          <w:sz w:val="21"/>
          <w:szCs w:val="21"/>
        </w:rPr>
        <w:t xml:space="preserve"> — un classeur est écrasé à chaque arrêté. Comparer deux mois suppose de retrouver deux fichiers, et de faire confiance à leurs noms.</w:t>
      </w:r>
    </w:p>
    <w:p>
      <w:pPr>
        <w:pStyle w:val="ListParagraph"/>
        <w:numPr>
          <w:ilvl w:val="0"/>
          <w:numId w:val="2"/>
        </w:numPr>
        <w:spacing w:after="80" w:line="276"/>
      </w:pPr>
      <w:r>
        <w:rPr>
          <w:rFonts w:ascii="Calibri" w:cs="Calibri" w:eastAsia="Calibri" w:hAnsi="Calibri"/>
          <w:b/>
          <w:bCs/>
          <w:color w:val="1F2A33"/>
          <w:sz w:val="21"/>
          <w:szCs w:val="21"/>
        </w:rPr>
        <w:t xml:space="preserve">La connaissance est dans les têtes</w:t>
      </w:r>
      <w:r>
        <w:rPr>
          <w:rFonts w:ascii="Calibri" w:cs="Calibri" w:eastAsia="Calibri" w:hAnsi="Calibri"/>
          <w:color w:val="1F2A33"/>
          <w:sz w:val="21"/>
          <w:szCs w:val="21"/>
        </w:rPr>
        <w:t xml:space="preserve"> — les règles de gestion (classification des produits d'épargne, barème de provision, traitement d'une agence fermée) vivent dans des formules imbriquées que seul leur auteur relit.</w:t>
      </w:r>
    </w:p>
    <w:p>
      <w:pPr>
        <w:pStyle w:val="Heading2"/>
        <w:spacing w:after="140" w:before="280"/>
      </w:pPr>
      <w:r>
        <w:rPr>
          <w:rFonts w:ascii="Calibri" w:cs="Calibri" w:eastAsia="Calibri" w:hAnsi="Calibri"/>
          <w:b/>
          <w:bCs/>
          <w:color w:val="1B5E86"/>
          <w:sz w:val="25"/>
          <w:szCs w:val="25"/>
        </w:rPr>
        <w:t xml:space="preserve">1.2 Ce que PopPilot propose</w:t>
      </w:r>
    </w:p>
    <w:p>
      <w:pPr>
        <w:spacing w:after="120" w:line="276"/>
      </w:pPr>
      <w:r>
        <w:rPr>
          <w:rFonts w:ascii="Calibri" w:cs="Calibri" w:eastAsia="Calibri" w:hAnsi="Calibri"/>
          <w:color w:val="1F2A33"/>
          <w:sz w:val="21"/>
          <w:szCs w:val="21"/>
        </w:rPr>
        <w:t xml:space="preserve">PopPilot substitue à cette constellation un socle de données unique et historisé, sur lequel chaque rapport devient une VUE. L'encours de crédit n'est plus calculé cinq fois : il est calculé une fois, et le tableau de bord, le bilan et la déclaration BCC lisent le même nombre.</w:t>
      </w:r>
    </w:p>
    <w:p>
      <w:pPr>
        <w:pBdr>
          <w:left w:val="single" w:color="00AEEA" w:sz="18" w:space="8"/>
        </w:pBdr>
        <w:shd w:fill="F4F7FA" w:val="clear"/>
        <w:spacing w:after="0" w:before="160"/>
      </w:pPr>
      <w:r>
        <w:rPr>
          <w:rFonts w:ascii="Calibri" w:cs="Calibri" w:eastAsia="Calibri" w:hAnsi="Calibri"/>
          <w:b/>
          <w:bCs/>
          <w:color w:val="0B3D5C"/>
          <w:sz w:val="21"/>
          <w:szCs w:val="21"/>
        </w:rPr>
        <w:t xml:space="preserve">Le principe fondateur</w:t>
      </w:r>
    </w:p>
    <w:p>
      <w:pPr>
        <w:pBdr>
          <w:left w:val="single" w:color="00AEEA" w:sz="18" w:space="8"/>
        </w:pBdr>
        <w:shd w:fill="F4F7FA" w:val="clear"/>
        <w:spacing w:after="200" w:before="40" w:line="276"/>
      </w:pPr>
      <w:r>
        <w:rPr>
          <w:rFonts w:ascii="Calibri" w:cs="Calibri" w:eastAsia="Calibri" w:hAnsi="Calibri"/>
          <w:color w:val="1F2A33"/>
          <w:sz w:val="20"/>
          <w:szCs w:val="20"/>
        </w:rPr>
        <w:t xml:space="preserve">La plateforme stocke des FAITS DATÉS, jamais un indicateur calculé. Un prêt, un solde de compte, une ligne de balance sont des faits : ils ne changent pas. Un PAR30, un ROE, un taux de réalisation budgétaire sont des lectures de ces faits : ils se recalculent à la demande. Stocker un indicateur, c'est figer une définition — et le jour où la définition évolue, l'historique devient incohérent sans que personne ne s'en aperçoive.</w:t>
      </w:r>
    </w:p>
    <w:p>
      <w:pPr>
        <w:spacing w:after="120" w:line="276"/>
      </w:pPr>
      <w:r>
        <w:rPr>
          <w:rFonts w:ascii="Calibri" w:cs="Calibri" w:eastAsia="Calibri" w:hAnsi="Calibri"/>
          <w:color w:val="1F2A33"/>
          <w:sz w:val="21"/>
          <w:szCs w:val="21"/>
        </w:rPr>
        <w:t xml:space="preserve">Il en découle une propriété qui vaut pour toute la plateforme : un chiffre affiché peut toujours être décomposé jusqu'aux lignes de source qui le composent. Le bilan s'ouvre sur les comptes de balance, le PAR sur les prêts, le suivi budgétaire sur les comptes rattachés à chaque ligne.</w:t>
      </w:r>
    </w:p>
    <w:p>
      <w:pPr>
        <w:pStyle w:val="Heading2"/>
        <w:spacing w:after="140" w:before="280"/>
      </w:pPr>
      <w:r>
        <w:rPr>
          <w:rFonts w:ascii="Calibri" w:cs="Calibri" w:eastAsia="Calibri" w:hAnsi="Calibri"/>
          <w:b/>
          <w:bCs/>
          <w:color w:val="1B5E86"/>
          <w:sz w:val="25"/>
          <w:szCs w:val="25"/>
        </w:rPr>
        <w:t xml:space="preserve">1.3 Ce que la plateforme refuse de faire</w:t>
      </w:r>
    </w:p>
    <w:p>
      <w:pPr>
        <w:spacing w:after="120" w:line="276"/>
      </w:pPr>
      <w:r>
        <w:rPr>
          <w:rFonts w:ascii="Calibri" w:cs="Calibri" w:eastAsia="Calibri" w:hAnsi="Calibri"/>
          <w:color w:val="1F2A33"/>
          <w:sz w:val="21"/>
          <w:szCs w:val="21"/>
        </w:rPr>
        <w:t xml:space="preserve">Un outil de pilotage se juge autant à ce qu'il refuse qu'à ce qu'il produit. PopPilot est construit autour d'une règle : mieux vaut un écran vide qui explique ce qui manque qu'un chiffre plausible qui est faux.</w:t>
      </w:r>
    </w:p>
    <w:p>
      <w:pPr>
        <w:pStyle w:val="ListParagraph"/>
        <w:numPr>
          <w:ilvl w:val="0"/>
          <w:numId w:val="2"/>
        </w:numPr>
        <w:spacing w:after="80" w:line="276"/>
      </w:pPr>
      <w:r>
        <w:rPr>
          <w:rFonts w:ascii="Calibri" w:cs="Calibri" w:eastAsia="Calibri" w:hAnsi="Calibri"/>
          <w:b/>
          <w:bCs/>
          <w:color w:val="1F2A33"/>
          <w:sz w:val="21"/>
          <w:szCs w:val="21"/>
        </w:rPr>
        <w:t xml:space="preserve">Aucun taux de change n'est figé</w:t>
      </w:r>
      <w:r>
        <w:rPr>
          <w:rFonts w:ascii="Calibri" w:cs="Calibri" w:eastAsia="Calibri" w:hAnsi="Calibri"/>
          <w:color w:val="1F2A33"/>
          <w:sz w:val="21"/>
          <w:szCs w:val="21"/>
        </w:rPr>
        <w:t xml:space="preserve"> — si le taux du mois n'est pas saisi, les montants en francs congolais ne sont pas produits. Un taux figé donnerait un bilan faux d'un facteur 2 268 sans lever la moindre alerte.</w:t>
      </w:r>
    </w:p>
    <w:p>
      <w:pPr>
        <w:pStyle w:val="ListParagraph"/>
        <w:numPr>
          <w:ilvl w:val="0"/>
          <w:numId w:val="2"/>
        </w:numPr>
        <w:spacing w:after="80" w:line="276"/>
      </w:pPr>
      <w:r>
        <w:rPr>
          <w:rFonts w:ascii="Calibri" w:cs="Calibri" w:eastAsia="Calibri" w:hAnsi="Calibri"/>
          <w:b/>
          <w:bCs/>
          <w:color w:val="1F2A33"/>
          <w:sz w:val="21"/>
          <w:szCs w:val="21"/>
        </w:rPr>
        <w:t xml:space="preserve">Aucun indicateur non calculable n'est ramené à zéro</w:t>
      </w:r>
      <w:r>
        <w:rPr>
          <w:rFonts w:ascii="Calibri" w:cs="Calibri" w:eastAsia="Calibri" w:hAnsi="Calibri"/>
          <w:color w:val="1F2A33"/>
          <w:sz w:val="21"/>
          <w:szCs w:val="21"/>
        </w:rPr>
        <w:t xml:space="preserve"> — il est déclaré « non calculé », avec son motif. Un ratio absent affiché à 0 % passerait pour excellent devant la Banque centrale.</w:t>
      </w:r>
    </w:p>
    <w:p>
      <w:pPr>
        <w:pStyle w:val="ListParagraph"/>
        <w:numPr>
          <w:ilvl w:val="0"/>
          <w:numId w:val="2"/>
        </w:numPr>
        <w:spacing w:after="80" w:line="276"/>
      </w:pPr>
      <w:r>
        <w:rPr>
          <w:rFonts w:ascii="Calibri" w:cs="Calibri" w:eastAsia="Calibri" w:hAnsi="Calibri"/>
          <w:b/>
          <w:bCs/>
          <w:color w:val="1F2A33"/>
          <w:sz w:val="21"/>
          <w:szCs w:val="21"/>
        </w:rPr>
        <w:t xml:space="preserve">Aucune donnée manquante n'est estimée</w:t>
      </w:r>
      <w:r>
        <w:rPr>
          <w:rFonts w:ascii="Calibri" w:cs="Calibri" w:eastAsia="Calibri" w:hAnsi="Calibri"/>
          <w:color w:val="1F2A33"/>
          <w:sz w:val="21"/>
          <w:szCs w:val="21"/>
        </w:rPr>
        <w:t xml:space="preserve"> — si la balance d'un arrêté n'est pas importée, l'écran le dit et ne propose rien.</w:t>
      </w:r>
    </w:p>
    <w:p>
      <w:r>
        <w:br w:type="page"/>
      </w:r>
    </w:p>
    <w:p>
      <w:pPr>
        <w:pStyle w:val="Heading1"/>
        <w:spacing w:after="180" w:before="360"/>
      </w:pPr>
      <w:r>
        <w:rPr>
          <w:rFonts w:ascii="Calibri" w:cs="Calibri" w:eastAsia="Calibri" w:hAnsi="Calibri"/>
          <w:b/>
          <w:bCs/>
          <w:color w:val="0B3D5C"/>
          <w:sz w:val="30"/>
          <w:szCs w:val="30"/>
        </w:rPr>
        <w:t xml:space="preserve">2. Les principes non négociables</w:t>
      </w:r>
    </w:p>
    <w:p>
      <w:pPr>
        <w:spacing w:after="120" w:line="276"/>
      </w:pPr>
      <w:r>
        <w:rPr>
          <w:rFonts w:ascii="Calibri" w:cs="Calibri" w:eastAsia="Calibri" w:hAnsi="Calibri"/>
          <w:color w:val="1F2A33"/>
          <w:sz w:val="21"/>
          <w:szCs w:val="21"/>
        </w:rPr>
        <w:t xml:space="preserve">Six règles gouvernent l'ensemble de la plateforme. Elles ont été arrêtées avec le contrôle de gestion et ne se négocient pas au cas par cas : chacune ferme une porte par laquelle un chiffre faux pourrait sortir sans être vu.</w:t>
      </w:r>
    </w:p>
    <w:tbl>
      <w:tblPr>
        <w:tblW w:type="dxa" w:w="9360"/>
        <w:tblBorders>
          <w:top w:val="single" w:color="D5DCE4" w:sz="4"/>
          <w:left w:val="none" w:color="FFFFFF" w:sz="0"/>
          <w:bottom w:val="single" w:color="D5DCE4" w:sz="4"/>
          <w:right w:val="none" w:color="FFFFFF" w:sz="0"/>
          <w:insideH w:val="single" w:color="D5DCE4" w:sz="2"/>
          <w:insideV w:val="none" w:color="FFFFFF" w:sz="0"/>
        </w:tblBorders>
      </w:tblPr>
      <w:tblGrid>
        <w:gridCol w:w="3400"/>
        <w:gridCol w:w="5960"/>
      </w:tblGrid>
      <w:tr>
        <w:trPr>
          <w:tblHeader/>
        </w:trPr>
        <w:tc>
          <w:tcPr>
            <w:tcW w:type="dxa" w:w="34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Principe</w:t>
            </w:r>
          </w:p>
        </w:tc>
        <w:tc>
          <w:tcPr>
            <w:tcW w:type="dxa" w:w="596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Ce qu'il empêche</w:t>
            </w:r>
          </w:p>
        </w:tc>
      </w:tr>
      <w:tr>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Stocker des faits datés, jamais un indicateur calculé</w:t>
            </w:r>
          </w:p>
        </w:tc>
        <w:tc>
          <w:tcPr>
            <w:tcW w:type="dxa" w:w="59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Qu'une évolution de définition rende l'historique incohérent en silence.</w:t>
            </w:r>
          </w:p>
        </w:tc>
      </w:tr>
      <w:tr>
        <w:tc>
          <w:tcPr>
            <w:tcW w:type="dxa" w:w="34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Deux dates distinctes : date d'import et date d'arrêté</w:t>
            </w:r>
          </w:p>
        </w:tc>
        <w:tc>
          <w:tcPr>
            <w:tcW w:type="dxa" w:w="59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Qu'un import du 4 mai portant l'arrêté du 30 avril soit rangé en mai. C'est la date d'arrêté — la date comptable — qui fait foi.</w:t>
            </w:r>
          </w:p>
        </w:tc>
      </w:tr>
      <w:tr>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Devise d'origine stockée, conversion dérivée d'un taux daté</w:t>
            </w:r>
          </w:p>
        </w:tc>
        <w:tc>
          <w:tcPr>
            <w:tcW w:type="dxa" w:w="59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Qu'une conversion soit figée dans la donnée et devienne irrattrapable.</w:t>
            </w:r>
          </w:p>
        </w:tc>
      </w:tr>
      <w:tr>
        <w:tc>
          <w:tcPr>
            <w:tcW w:type="dxa" w:w="34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Paramètres versionnés à date d'effet</w:t>
            </w:r>
          </w:p>
        </w:tc>
        <w:tc>
          <w:tcPr>
            <w:tcW w:type="dxa" w:w="59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Qu'un changement de barème, d'objectif ou de norme réécrive le passé.</w:t>
            </w:r>
          </w:p>
        </w:tc>
      </w:tr>
      <w:tr>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Ne stocker que le brut</w:t>
            </w:r>
          </w:p>
        </w:tc>
        <w:tc>
          <w:tcPr>
            <w:tcW w:type="dxa" w:w="59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Que la donnée source et sa dérivation divergent. Les colonnes de l'extraction crédit sont stockées telles quelles ; tout le reste est recalculé.</w:t>
            </w:r>
          </w:p>
        </w:tc>
      </w:tr>
      <w:tr>
        <w:tc>
          <w:tcPr>
            <w:tcW w:type="dxa" w:w="34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L'encours de crédit est calculé une seule fois</w:t>
            </w:r>
          </w:p>
        </w:tc>
        <w:tc>
          <w:tcPr>
            <w:tcW w:type="dxa" w:w="59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Que le tableau de bord, le bilan et la déclaration BCC affichent trois encours différents.</w:t>
            </w:r>
          </w:p>
        </w:tc>
      </w:tr>
    </w:tbl>
    <w:p>
      <w:pPr>
        <w:spacing w:after="200"/>
      </w:pPr>
    </w:p>
    <w:p>
      <w:pPr>
        <w:pBdr>
          <w:left w:val="single" w:color="00AEEA" w:sz="18" w:space="8"/>
        </w:pBdr>
        <w:shd w:fill="F4F7FA" w:val="clear"/>
        <w:spacing w:after="0" w:before="160"/>
      </w:pPr>
      <w:r>
        <w:rPr>
          <w:rFonts w:ascii="Calibri" w:cs="Calibri" w:eastAsia="Calibri" w:hAnsi="Calibri"/>
          <w:b/>
          <w:bCs/>
          <w:color w:val="0B3D5C"/>
          <w:sz w:val="21"/>
          <w:szCs w:val="21"/>
        </w:rPr>
        <w:t xml:space="preserve">L'invariant X-1, ou comment la plateforme se contrôle elle-même</w:t>
      </w:r>
    </w:p>
    <w:p>
      <w:pPr>
        <w:pBdr>
          <w:left w:val="single" w:color="00AEEA" w:sz="18" w:space="8"/>
        </w:pBdr>
        <w:shd w:fill="F4F7FA" w:val="clear"/>
        <w:spacing w:after="200" w:before="40" w:line="276"/>
      </w:pPr>
      <w:r>
        <w:rPr>
          <w:rFonts w:ascii="Calibri" w:cs="Calibri" w:eastAsia="Calibri" w:hAnsi="Calibri"/>
          <w:color w:val="1F2A33"/>
          <w:sz w:val="20"/>
          <w:szCs w:val="20"/>
        </w:rPr>
        <w:t xml:space="preserve">L'encours de crédit issu de l'extraction des prêts et celui issu de la balance comptable (comptes 31, 32 et 39) doivent coïncider au centime. Ces deux chiffres viennent de deux systèmes différents et de deux chaînes de traitement indépendantes. Leur égalité n'est pas une formalité : c'est la preuve que les deux sources décrivent bien la même réalité. Vérifié en conditions réelles sur juillet 2026 — le portefeuille à risque calculé depuis le crédit correspond exactement au compte 39 de la balance.</w:t>
      </w:r>
    </w:p>
    <w:p>
      <w:r>
        <w:br w:type="page"/>
      </w:r>
    </w:p>
    <w:p>
      <w:pPr>
        <w:pStyle w:val="Heading1"/>
        <w:spacing w:after="180" w:before="360"/>
      </w:pPr>
      <w:r>
        <w:rPr>
          <w:rFonts w:ascii="Calibri" w:cs="Calibri" w:eastAsia="Calibri" w:hAnsi="Calibri"/>
          <w:b/>
          <w:bCs/>
          <w:color w:val="0B3D5C"/>
          <w:sz w:val="30"/>
          <w:szCs w:val="30"/>
        </w:rPr>
        <w:t xml:space="preserve">3. Architecture</w:t>
      </w:r>
    </w:p>
    <w:p>
      <w:pPr>
        <w:spacing w:after="120" w:line="276"/>
      </w:pPr>
      <w:r>
        <w:rPr>
          <w:rFonts w:ascii="Calibri" w:cs="Calibri" w:eastAsia="Calibri" w:hAnsi="Calibri"/>
          <w:color w:val="1F2A33"/>
          <w:sz w:val="21"/>
          <w:szCs w:val="21"/>
        </w:rPr>
        <w:t xml:space="preserve">La plateforme est organisée en quatre couches superposées. Chacune a une responsabilité unique, et la frontière entre elles est stricte.</w:t>
      </w:r>
    </w:p>
    <w:tbl>
      <w:tblPr>
        <w:tblW w:type="dxa" w:w="9360"/>
        <w:tblBorders>
          <w:top w:val="single" w:color="D5DCE4" w:sz="4"/>
          <w:left w:val="none" w:color="FFFFFF" w:sz="0"/>
          <w:bottom w:val="single" w:color="D5DCE4" w:sz="4"/>
          <w:right w:val="none" w:color="FFFFFF" w:sz="0"/>
          <w:insideH w:val="single" w:color="D5DCE4" w:sz="2"/>
          <w:insideV w:val="none" w:color="FFFFFF" w:sz="0"/>
        </w:tblBorders>
      </w:tblPr>
      <w:tblGrid>
        <w:gridCol w:w="1900"/>
        <w:gridCol w:w="5460"/>
        <w:gridCol w:w="2000"/>
      </w:tblGrid>
      <w:tr>
        <w:trPr>
          <w:tblHeader/>
        </w:trPr>
        <w:tc>
          <w:tcPr>
            <w:tcW w:type="dxa" w:w="19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Couche</w:t>
            </w:r>
          </w:p>
        </w:tc>
        <w:tc>
          <w:tcPr>
            <w:tcW w:type="dxa" w:w="546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Rôle</w:t>
            </w:r>
          </w:p>
        </w:tc>
        <w:tc>
          <w:tcPr>
            <w:tcW w:type="dxa" w:w="20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Technologie</w:t>
            </w:r>
          </w:p>
        </w:tc>
      </w:tr>
      <w:tr>
        <w:tc>
          <w:tcPr>
            <w:tcW w:type="dxa" w:w="19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Socle de données</w:t>
            </w:r>
          </w:p>
        </w:tc>
        <w:tc>
          <w:tcPr>
            <w:tcW w:type="dxa" w:w="54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Conserve les faits datés et historisés : 27 tables couvrant crédit, épargne, comptabilité, budget, paramètres et référentiels.</w:t>
            </w:r>
          </w:p>
        </w:tc>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PostgreSQL (Supabase)</w:t>
            </w:r>
          </w:p>
        </w:tc>
      </w:tr>
      <w:tr>
        <w:tc>
          <w:tcPr>
            <w:tcW w:type="dxa" w:w="19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Moteurs de calcul</w:t>
            </w:r>
          </w:p>
        </w:tc>
        <w:tc>
          <w:tcPr>
            <w:tcW w:type="dxa" w:w="54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Produisent tous les indicateurs. Validés au centime contre les fichiers de référence. C'est le seul endroit où un calcul existe.</w:t>
            </w:r>
          </w:p>
        </w:tc>
        <w:tc>
          <w:tcPr>
            <w:tcW w:type="dxa" w:w="20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Python</w:t>
            </w:r>
          </w:p>
        </w:tc>
      </w:tr>
      <w:tr>
        <w:tc>
          <w:tcPr>
            <w:tcW w:type="dxa" w:w="19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API</w:t>
            </w:r>
          </w:p>
        </w:tc>
        <w:tc>
          <w:tcPr>
            <w:tcW w:type="dxa" w:w="54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Expose les moteurs, applique le cloisonnement par agence et vérifie l'identité de l'appelant. Ne réécrit aucun calcul.</w:t>
            </w:r>
          </w:p>
        </w:tc>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FastAPI</w:t>
            </w:r>
          </w:p>
        </w:tc>
      </w:tr>
      <w:tr>
        <w:tc>
          <w:tcPr>
            <w:tcW w:type="dxa" w:w="19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Interface</w:t>
            </w:r>
          </w:p>
        </w:tc>
        <w:tc>
          <w:tcPr>
            <w:tcW w:type="dxa" w:w="54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Affiche, filtre et met en forme. Ne calcule rien.</w:t>
            </w:r>
          </w:p>
        </w:tc>
        <w:tc>
          <w:tcPr>
            <w:tcW w:type="dxa" w:w="20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Next.js / React</w:t>
            </w:r>
          </w:p>
        </w:tc>
      </w:tr>
    </w:tbl>
    <w:p>
      <w:pPr>
        <w:pStyle w:val="Heading2"/>
        <w:spacing w:after="140" w:before="280"/>
      </w:pPr>
      <w:r>
        <w:rPr>
          <w:rFonts w:ascii="Calibri" w:cs="Calibri" w:eastAsia="Calibri" w:hAnsi="Calibri"/>
          <w:b/>
          <w:bCs/>
          <w:color w:val="1B5E86"/>
          <w:sz w:val="25"/>
          <w:szCs w:val="25"/>
        </w:rPr>
        <w:t xml:space="preserve">3.1 Pourquoi l'interface ne calcule rien</w:t>
      </w:r>
    </w:p>
    <w:p>
      <w:pPr>
        <w:spacing w:after="120" w:line="276"/>
      </w:pPr>
      <w:r>
        <w:rPr>
          <w:rFonts w:ascii="Calibri" w:cs="Calibri" w:eastAsia="Calibri" w:hAnsi="Calibri"/>
          <w:color w:val="1F2A33"/>
          <w:sz w:val="21"/>
          <w:szCs w:val="21"/>
        </w:rPr>
        <w:t xml:space="preserve">C'est une contrainte d'architecture assumée, et elle a une conséquence pratique immédiate : un chiffre affiché à l'écran et le même chiffre exporté en Excel ne peuvent pas diverger, puisqu'ils sortent du même moteur. Si l'interface recalculait, la moindre évolution d'une règle de gestion devrait être répercutée à deux endroits — et le jour où l'on en oublie un, l'écart est invisible.</w:t>
      </w:r>
    </w:p>
    <w:p>
      <w:pPr>
        <w:spacing w:after="120" w:line="276"/>
      </w:pPr>
      <w:r>
        <w:rPr>
          <w:rFonts w:ascii="Calibri" w:cs="Calibri" w:eastAsia="Calibri" w:hAnsi="Calibri"/>
          <w:color w:val="1F2A33"/>
          <w:sz w:val="21"/>
          <w:szCs w:val="21"/>
        </w:rPr>
        <w:t xml:space="preserve">La seule arithmétique tolérée dans l'interface est l'agrégation de lignes déjà filtrées, et elle est explicite : lorsqu'un responsable d'agence consulte son tableau de bord, le total affiché est la somme de ses seules lignes, jamais l'agrégat de l'institution.</w:t>
      </w:r>
    </w:p>
    <w:p>
      <w:pPr>
        <w:pStyle w:val="Heading2"/>
        <w:spacing w:after="140" w:before="280"/>
      </w:pPr>
      <w:r>
        <w:rPr>
          <w:rFonts w:ascii="Calibri" w:cs="Calibri" w:eastAsia="Calibri" w:hAnsi="Calibri"/>
          <w:b/>
          <w:bCs/>
          <w:color w:val="1B5E86"/>
          <w:sz w:val="25"/>
          <w:szCs w:val="25"/>
        </w:rPr>
        <w:t xml:space="preserve">3.2 Un mode de démonstration cloisonné</w:t>
      </w:r>
    </w:p>
    <w:p>
      <w:pPr>
        <w:spacing w:after="120" w:line="276"/>
      </w:pPr>
      <w:r>
        <w:rPr>
          <w:rFonts w:ascii="Calibri" w:cs="Calibri" w:eastAsia="Calibri" w:hAnsi="Calibri"/>
          <w:color w:val="1F2A33"/>
          <w:sz w:val="21"/>
          <w:szCs w:val="21"/>
        </w:rPr>
        <w:t xml:space="preserve">Tant que la base n'est pas raccordée, l'interface peut fonctionner sur des données d'illustration, calées sur les ordres de grandeur réels. Ce mode s'éteint automatiquement dès que la configuration est renseignée, et il est techniquement impossible en production. Tout écran ainsi alimenté porte un bandeau explicite : un chiffre d'illustration ne doit jamais pouvoir passer pour un chiffre officiel sur une capture d'écran.</w:t>
      </w:r>
    </w:p>
    <w:p>
      <w:r>
        <w:br w:type="page"/>
      </w:r>
    </w:p>
    <w:p>
      <w:pPr>
        <w:pStyle w:val="Heading1"/>
        <w:spacing w:after="180" w:before="360"/>
      </w:pPr>
      <w:r>
        <w:rPr>
          <w:rFonts w:ascii="Calibri" w:cs="Calibri" w:eastAsia="Calibri" w:hAnsi="Calibri"/>
          <w:b/>
          <w:bCs/>
          <w:color w:val="0B3D5C"/>
          <w:sz w:val="30"/>
          <w:szCs w:val="30"/>
        </w:rPr>
        <w:t xml:space="preserve">4. Périmètre fonctionnel</w:t>
      </w:r>
    </w:p>
    <w:p>
      <w:pPr>
        <w:spacing w:after="120" w:line="276"/>
      </w:pPr>
      <w:r>
        <w:rPr>
          <w:rFonts w:ascii="Calibri" w:cs="Calibri" w:eastAsia="Calibri" w:hAnsi="Calibri"/>
          <w:color w:val="1F2A33"/>
          <w:sz w:val="21"/>
          <w:szCs w:val="21"/>
        </w:rPr>
        <w:t xml:space="preserve">La plateforme couvre sept domaines. Chacun dispose d'un écran dédié, d'un export Excel et d'un jeu de contrôles qui lui est propre.</w:t>
      </w:r>
    </w:p>
    <w:p>
      <w:pPr>
        <w:pStyle w:val="Heading2"/>
        <w:spacing w:after="140" w:before="280"/>
      </w:pPr>
      <w:r>
        <w:rPr>
          <w:rFonts w:ascii="Calibri" w:cs="Calibri" w:eastAsia="Calibri" w:hAnsi="Calibri"/>
          <w:b/>
          <w:bCs/>
          <w:color w:val="1B5E86"/>
          <w:sz w:val="25"/>
          <w:szCs w:val="25"/>
        </w:rPr>
        <w:t xml:space="preserve">4.1 Import des extractions du CBS</w:t>
      </w:r>
    </w:p>
    <w:p>
      <w:pPr>
        <w:spacing w:after="120" w:line="276"/>
      </w:pPr>
      <w:r>
        <w:rPr>
          <w:rFonts w:ascii="Calibri" w:cs="Calibri" w:eastAsia="Calibri" w:hAnsi="Calibri"/>
          <w:color w:val="1F2A33"/>
          <w:sz w:val="21"/>
          <w:szCs w:val="21"/>
        </w:rPr>
        <w:t xml:space="preserve">Point d'entrée de toute la chaîne. Six domaines d'import sont proposés, chacun confié au module d'ingestion qui sait lire le fichier concerné.</w:t>
      </w:r>
    </w:p>
    <w:tbl>
      <w:tblPr>
        <w:tblW w:type="dxa" w:w="9360"/>
        <w:tblBorders>
          <w:top w:val="single" w:color="D5DCE4" w:sz="4"/>
          <w:left w:val="none" w:color="FFFFFF" w:sz="0"/>
          <w:bottom w:val="single" w:color="D5DCE4" w:sz="4"/>
          <w:right w:val="none" w:color="FFFFFF" w:sz="0"/>
          <w:insideH w:val="single" w:color="D5DCE4" w:sz="2"/>
          <w:insideV w:val="none" w:color="FFFFFF" w:sz="0"/>
        </w:tblBorders>
      </w:tblPr>
      <w:tblGrid>
        <w:gridCol w:w="2100"/>
        <w:gridCol w:w="4660"/>
        <w:gridCol w:w="2600"/>
      </w:tblGrid>
      <w:tr>
        <w:trPr>
          <w:tblHeader/>
        </w:trPr>
        <w:tc>
          <w:tcPr>
            <w:tcW w:type="dxa" w:w="21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Domaine</w:t>
            </w:r>
          </w:p>
        </w:tc>
        <w:tc>
          <w:tcPr>
            <w:tcW w:type="dxa" w:w="466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c>
          <w:tcPr>
            <w:tcW w:type="dxa" w:w="26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Volumétrie constatée</w:t>
            </w:r>
          </w:p>
        </w:tc>
      </w:tr>
      <w:tr>
        <w:tc>
          <w:tcPr>
            <w:tcW w:type="dxa" w:w="21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Crédit</w:t>
            </w:r>
          </w:p>
        </w:tc>
        <w:tc>
          <w:tcPr>
            <w:tcW w:type="dxa" w:w="46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Extraction SIG des prêts actifs (colonnes A à AF)</w:t>
            </w:r>
          </w:p>
        </w:tc>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8 000 à 11 000 prêts</w:t>
            </w:r>
          </w:p>
        </w:tc>
      </w:tr>
      <w:tr>
        <w:tc>
          <w:tcPr>
            <w:tcW w:type="dxa" w:w="21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Balance</w:t>
            </w:r>
          </w:p>
        </w:tc>
        <w:tc>
          <w:tcPr>
            <w:tcW w:type="dxa" w:w="46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Export comptable SAGE</w:t>
            </w:r>
          </w:p>
        </w:tc>
        <w:tc>
          <w:tcPr>
            <w:tcW w:type="dxa" w:w="26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375 à 612 comptes</w:t>
            </w:r>
          </w:p>
        </w:tc>
      </w:tr>
      <w:tr>
        <w:tc>
          <w:tcPr>
            <w:tcW w:type="dxa" w:w="21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Épargne</w:t>
            </w:r>
          </w:p>
        </w:tc>
        <w:tc>
          <w:tcPr>
            <w:tcW w:type="dxa" w:w="46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Inventaire dépôt</w:t>
            </w:r>
          </w:p>
        </w:tc>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169 799 comptes</w:t>
            </w:r>
          </w:p>
        </w:tc>
      </w:tr>
      <w:tr>
        <w:tc>
          <w:tcPr>
            <w:tcW w:type="dxa" w:w="21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Objectifs</w:t>
            </w:r>
          </w:p>
        </w:tc>
        <w:tc>
          <w:tcPr>
            <w:tcW w:type="dxa" w:w="46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Fichier OBJECTIF (roster et objectifs des agents)</w:t>
            </w:r>
          </w:p>
        </w:tc>
        <w:tc>
          <w:tcPr>
            <w:tcW w:type="dxa" w:w="26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39 agents</w:t>
            </w:r>
          </w:p>
        </w:tc>
      </w:tr>
      <w:tr>
        <w:tc>
          <w:tcPr>
            <w:tcW w:type="dxa" w:w="21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Budget</w:t>
            </w:r>
          </w:p>
        </w:tc>
        <w:tc>
          <w:tcPr>
            <w:tcW w:type="dxa" w:w="46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Feuille « Charges et produits consolidé »</w:t>
            </w:r>
          </w:p>
        </w:tc>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766 lignes</w:t>
            </w:r>
          </w:p>
        </w:tc>
      </w:tr>
      <w:tr>
        <w:tc>
          <w:tcPr>
            <w:tcW w:type="dxa" w:w="21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Mapping budgétaire</w:t>
            </w:r>
          </w:p>
        </w:tc>
        <w:tc>
          <w:tcPr>
            <w:tcW w:type="dxa" w:w="46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Feuilles « Résultat charges » et « Résultat produits »</w:t>
            </w:r>
          </w:p>
        </w:tc>
        <w:tc>
          <w:tcPr>
            <w:tcW w:type="dxa" w:w="26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188 comptes</w:t>
            </w:r>
          </w:p>
        </w:tc>
      </w:tr>
    </w:tbl>
    <w:p>
      <w:pPr>
        <w:spacing w:after="160"/>
      </w:pPr>
    </w:p>
    <w:p>
      <w:pPr>
        <w:spacing w:after="80" w:line="276"/>
      </w:pPr>
      <w:r>
        <w:rPr>
          <w:rFonts w:ascii="Calibri" w:cs="Calibri" w:eastAsia="Calibri" w:hAnsi="Calibri"/>
          <w:color w:val="1F2A33"/>
          <w:sz w:val="21"/>
          <w:szCs w:val="21"/>
        </w:rPr>
        <w:t xml:space="preserve">Trois garanties encadrent chaque import :</w:t>
      </w:r>
    </w:p>
    <w:p>
      <w:pPr>
        <w:pStyle w:val="ListParagraph"/>
        <w:numPr>
          <w:ilvl w:val="0"/>
          <w:numId w:val="2"/>
        </w:numPr>
        <w:spacing w:after="80" w:line="276"/>
      </w:pPr>
      <w:r>
        <w:rPr>
          <w:rFonts w:ascii="Calibri" w:cs="Calibri" w:eastAsia="Calibri" w:hAnsi="Calibri"/>
          <w:b/>
          <w:bCs/>
          <w:color w:val="1F2A33"/>
          <w:sz w:val="21"/>
          <w:szCs w:val="21"/>
        </w:rPr>
        <w:t xml:space="preserve">Idempotence</w:t>
      </w:r>
      <w:r>
        <w:rPr>
          <w:rFonts w:ascii="Calibri" w:cs="Calibri" w:eastAsia="Calibri" w:hAnsi="Calibri"/>
          <w:color w:val="1F2A33"/>
          <w:sz w:val="21"/>
          <w:szCs w:val="21"/>
        </w:rPr>
        <w:t xml:space="preserve"> — ré-importer le même arrêté remplace le précédent au lieu de le dupliquer. Le nombre de lignes ainsi remplacées est affiché : c'est la seule façon de voir qu'on vient d'écraser un import antérieur.</w:t>
      </w:r>
    </w:p>
    <w:p>
      <w:pPr>
        <w:pStyle w:val="ListParagraph"/>
        <w:numPr>
          <w:ilvl w:val="0"/>
          <w:numId w:val="2"/>
        </w:numPr>
        <w:spacing w:after="80" w:line="276"/>
      </w:pPr>
      <w:r>
        <w:rPr>
          <w:rFonts w:ascii="Calibri" w:cs="Calibri" w:eastAsia="Calibri" w:hAnsi="Calibri"/>
          <w:b/>
          <w:bCs/>
          <w:color w:val="1F2A33"/>
          <w:sz w:val="21"/>
          <w:szCs w:val="21"/>
        </w:rPr>
        <w:t xml:space="preserve">Refus explicite</w:t>
      </w:r>
      <w:r>
        <w:rPr>
          <w:rFonts w:ascii="Calibri" w:cs="Calibri" w:eastAsia="Calibri" w:hAnsi="Calibri"/>
          <w:color w:val="1F2A33"/>
          <w:sz w:val="21"/>
          <w:szCs w:val="21"/>
        </w:rPr>
        <w:t xml:space="preserve"> — un fichier qui n'est pas celui attendu est refusé avec un message qui dit ce qui était attendu, pas un code d'erreur.</w:t>
      </w:r>
    </w:p>
    <w:p>
      <w:pPr>
        <w:pStyle w:val="ListParagraph"/>
        <w:numPr>
          <w:ilvl w:val="0"/>
          <w:numId w:val="2"/>
        </w:numPr>
        <w:spacing w:after="80" w:line="276"/>
      </w:pPr>
      <w:r>
        <w:rPr>
          <w:rFonts w:ascii="Calibri" w:cs="Calibri" w:eastAsia="Calibri" w:hAnsi="Calibri"/>
          <w:b/>
          <w:bCs/>
          <w:color w:val="1F2A33"/>
          <w:sz w:val="21"/>
          <w:szCs w:val="21"/>
        </w:rPr>
        <w:t xml:space="preserve">Journal</w:t>
      </w:r>
      <w:r>
        <w:rPr>
          <w:rFonts w:ascii="Calibri" w:cs="Calibri" w:eastAsia="Calibri" w:hAnsi="Calibri"/>
          <w:color w:val="1F2A33"/>
          <w:sz w:val="21"/>
          <w:szCs w:val="21"/>
        </w:rPr>
        <w:t xml:space="preserve"> — chaque import laisse une trace nominative : qui, quoi, quand, combien de lignes.</w:t>
      </w:r>
    </w:p>
    <w:p>
      <w:pPr>
        <w:pStyle w:val="Heading2"/>
        <w:spacing w:after="140" w:before="280"/>
      </w:pPr>
      <w:r>
        <w:rPr>
          <w:rFonts w:ascii="Calibri" w:cs="Calibri" w:eastAsia="Calibri" w:hAnsi="Calibri"/>
          <w:b/>
          <w:bCs/>
          <w:color w:val="1B5E86"/>
          <w:sz w:val="25"/>
          <w:szCs w:val="25"/>
        </w:rPr>
        <w:t xml:space="preserve">4.2 Crédit</w:t>
      </w:r>
    </w:p>
    <w:p>
      <w:pPr>
        <w:spacing w:after="120" w:line="276"/>
      </w:pPr>
      <w:r>
        <w:rPr>
          <w:rFonts w:ascii="Calibri" w:cs="Calibri" w:eastAsia="Calibri" w:hAnsi="Calibri"/>
          <w:color w:val="1F2A33"/>
          <w:sz w:val="21"/>
          <w:szCs w:val="21"/>
        </w:rPr>
        <w:t xml:space="preserve">Le domaine le plus mûr, validé à écart nul contre les tableaux de bord existants.</w:t>
      </w:r>
    </w:p>
    <w:p>
      <w:pPr>
        <w:pStyle w:val="ListParagraph"/>
        <w:numPr>
          <w:ilvl w:val="0"/>
          <w:numId w:val="2"/>
        </w:numPr>
        <w:spacing w:after="80" w:line="276"/>
      </w:pPr>
      <w:r>
        <w:rPr>
          <w:rFonts w:ascii="Calibri" w:cs="Calibri" w:eastAsia="Calibri" w:hAnsi="Calibri"/>
          <w:b/>
          <w:bCs/>
          <w:color w:val="1F2A33"/>
          <w:sz w:val="21"/>
          <w:szCs w:val="21"/>
        </w:rPr>
        <w:t xml:space="preserve">Portefeuille à risque</w:t>
      </w:r>
      <w:r>
        <w:rPr>
          <w:rFonts w:ascii="Calibri" w:cs="Calibri" w:eastAsia="Calibri" w:hAnsi="Calibri"/>
          <w:color w:val="1F2A33"/>
          <w:sz w:val="21"/>
          <w:szCs w:val="21"/>
        </w:rPr>
        <w:t xml:space="preserve"> — PAR 1, PAR 30 et PAR 90, au niveau institution et par agence.</w:t>
      </w:r>
    </w:p>
    <w:p>
      <w:pPr>
        <w:pStyle w:val="ListParagraph"/>
        <w:numPr>
          <w:ilvl w:val="0"/>
          <w:numId w:val="2"/>
        </w:numPr>
        <w:spacing w:after="80" w:line="276"/>
      </w:pPr>
      <w:r>
        <w:rPr>
          <w:rFonts w:ascii="Calibri" w:cs="Calibri" w:eastAsia="Calibri" w:hAnsi="Calibri"/>
          <w:b/>
          <w:bCs/>
          <w:color w:val="1F2A33"/>
          <w:sz w:val="21"/>
          <w:szCs w:val="21"/>
        </w:rPr>
        <w:t xml:space="preserve">Provisions</w:t>
      </w:r>
      <w:r>
        <w:rPr>
          <w:rFonts w:ascii="Calibri" w:cs="Calibri" w:eastAsia="Calibri" w:hAnsi="Calibri"/>
          <w:color w:val="1F2A33"/>
          <w:sz w:val="21"/>
          <w:szCs w:val="21"/>
        </w:rPr>
        <w:t xml:space="preserve"> — barème réglementaire par tranche d'ancienneté, complété des provisions manuelles décidées par la DAF pour les agences fermées.</w:t>
      </w:r>
    </w:p>
    <w:p>
      <w:pPr>
        <w:pStyle w:val="ListParagraph"/>
        <w:numPr>
          <w:ilvl w:val="0"/>
          <w:numId w:val="2"/>
        </w:numPr>
        <w:spacing w:after="80" w:line="276"/>
      </w:pPr>
      <w:r>
        <w:rPr>
          <w:rFonts w:ascii="Calibri" w:cs="Calibri" w:eastAsia="Calibri" w:hAnsi="Calibri"/>
          <w:b/>
          <w:bCs/>
          <w:color w:val="1F2A33"/>
          <w:sz w:val="21"/>
          <w:szCs w:val="21"/>
        </w:rPr>
        <w:t xml:space="preserve">Coût du risque et migrations</w:t>
      </w:r>
      <w:r>
        <w:rPr>
          <w:rFonts w:ascii="Calibri" w:cs="Calibri" w:eastAsia="Calibri" w:hAnsi="Calibri"/>
          <w:color w:val="1F2A33"/>
          <w:sz w:val="21"/>
          <w:szCs w:val="21"/>
        </w:rPr>
        <w:t xml:space="preserve"> — différentiel de provision calculé prêt par prêt, et non sur les totaux bruts. La simple différence des totaux inclurait les entrées et sorties de prêts et ne serait pas le coût du risque.</w:t>
      </w:r>
    </w:p>
    <w:p>
      <w:pPr>
        <w:pStyle w:val="ListParagraph"/>
        <w:numPr>
          <w:ilvl w:val="0"/>
          <w:numId w:val="2"/>
        </w:numPr>
        <w:spacing w:after="80" w:line="276"/>
      </w:pPr>
      <w:r>
        <w:rPr>
          <w:rFonts w:ascii="Calibri" w:cs="Calibri" w:eastAsia="Calibri" w:hAnsi="Calibri"/>
          <w:b/>
          <w:bCs/>
          <w:color w:val="1F2A33"/>
          <w:sz w:val="21"/>
          <w:szCs w:val="21"/>
        </w:rPr>
        <w:t xml:space="preserve">Décaissements</w:t>
      </w:r>
      <w:r>
        <w:rPr>
          <w:rFonts w:ascii="Calibri" w:cs="Calibri" w:eastAsia="Calibri" w:hAnsi="Calibri"/>
          <w:color w:val="1F2A33"/>
          <w:sz w:val="21"/>
          <w:szCs w:val="21"/>
        </w:rPr>
        <w:t xml:space="preserve"> — sur un intervalle de dates quelconque : un mois, une quinzaine, une semaine, un jour.</w:t>
      </w:r>
    </w:p>
    <w:p>
      <w:pPr>
        <w:pBdr>
          <w:left w:val="single" w:color="00AEEA" w:sz="18" w:space="8"/>
        </w:pBdr>
        <w:shd w:fill="F4F7FA" w:val="clear"/>
        <w:spacing w:after="0" w:before="160"/>
      </w:pPr>
      <w:r>
        <w:rPr>
          <w:rFonts w:ascii="Calibri" w:cs="Calibri" w:eastAsia="Calibri" w:hAnsi="Calibri"/>
          <w:b/>
          <w:bCs/>
          <w:color w:val="0B3D5C"/>
          <w:sz w:val="21"/>
          <w:szCs w:val="21"/>
        </w:rPr>
        <w:t xml:space="preserve">Le PAR 1 au premier plan</w:t>
      </w:r>
    </w:p>
    <w:p>
      <w:pPr>
        <w:pBdr>
          <w:left w:val="single" w:color="00AEEA" w:sz="18" w:space="8"/>
        </w:pBdr>
        <w:shd w:fill="F4F7FA" w:val="clear"/>
        <w:spacing w:after="200" w:before="40" w:line="276"/>
      </w:pPr>
      <w:r>
        <w:rPr>
          <w:rFonts w:ascii="Calibri" w:cs="Calibri" w:eastAsia="Calibri" w:hAnsi="Calibri"/>
          <w:color w:val="1F2A33"/>
          <w:sz w:val="20"/>
          <w:szCs w:val="20"/>
        </w:rPr>
        <w:t xml:space="preserve">Le PAR 30 est la norme réglementaire, mais le PAR 1 — tout crédit présentant au moins un jour de retard — est le véritable indicateur de risque global. Il est affiché à égalité avec le PAR 30 et le PAR 90, et non relégué en second rang.</w:t>
      </w:r>
    </w:p>
    <w:p>
      <w:pPr>
        <w:pStyle w:val="Heading2"/>
        <w:spacing w:after="140" w:before="280"/>
      </w:pPr>
      <w:r>
        <w:rPr>
          <w:rFonts w:ascii="Calibri" w:cs="Calibri" w:eastAsia="Calibri" w:hAnsi="Calibri"/>
          <w:b/>
          <w:bCs/>
          <w:color w:val="1B5E86"/>
          <w:sz w:val="25"/>
          <w:szCs w:val="25"/>
        </w:rPr>
        <w:t xml:space="preserve">4.3 Comptabilité et indicateurs prudentiels</w:t>
      </w:r>
    </w:p>
    <w:p>
      <w:pPr>
        <w:spacing w:after="120" w:line="276"/>
      </w:pPr>
      <w:r>
        <w:rPr>
          <w:rFonts w:ascii="Calibri" w:cs="Calibri" w:eastAsia="Calibri" w:hAnsi="Calibri"/>
          <w:color w:val="1F2A33"/>
          <w:sz w:val="21"/>
          <w:szCs w:val="21"/>
        </w:rPr>
        <w:t xml:space="preserve">Le bilan et le compte de résultat sont publiés dans le format INTÉGRAL du référentiel de la Banque centrale : 32 lignes à l'actif, 28 au passif, 26 au compte de résultat — codes BCC, sous-totaux, soldes intermédiaires de gestion et lignes à zéro comprises.</w:t>
      </w:r>
    </w:p>
    <w:p>
      <w:pPr>
        <w:spacing w:after="120" w:line="276"/>
      </w:pPr>
      <w:r>
        <w:rPr>
          <w:rFonts w:ascii="Calibri" w:cs="Calibri" w:eastAsia="Calibri" w:hAnsi="Calibri"/>
          <w:color w:val="1F2A33"/>
          <w:sz w:val="21"/>
          <w:szCs w:val="21"/>
        </w:rPr>
        <w:t xml:space="preserve">Une ligne qui vaut zéro est publiée quand même. L'absence d'une ligne attendue par la Banque centrale est une anomalie de déclaration, pas une économie de place.</w:t>
      </w:r>
    </w:p>
    <w:p>
      <w:pPr>
        <w:spacing w:after="120" w:line="276"/>
      </w:pPr>
      <w:r>
        <w:rPr>
          <w:rFonts w:ascii="Calibri" w:cs="Calibri" w:eastAsia="Calibri" w:hAnsi="Calibri"/>
          <w:color w:val="1F2A33"/>
          <w:sz w:val="21"/>
          <w:szCs w:val="21"/>
        </w:rPr>
        <w:t xml:space="preserve">Chaque ligne s'ouvre sur les comptes de balance qui la composent, avec leur numéro, leur libellé et leur solde : un montant peut être justifié devant un contrôleur sans ressortir la balance.</w:t>
      </w:r>
    </w:p>
    <w:p>
      <w:pPr>
        <w:pStyle w:val="Heading3"/>
        <w:spacing w:after="100" w:before="200"/>
      </w:pPr>
      <w:r>
        <w:rPr>
          <w:rFonts w:ascii="Calibri" w:cs="Calibri" w:eastAsia="Calibri" w:hAnsi="Calibri"/>
          <w:b/>
          <w:bCs/>
          <w:color w:val="1F2A33"/>
          <w:sz w:val="22"/>
          <w:szCs w:val="22"/>
        </w:rPr>
        <w:t xml:space="preserve">Dix-sept indicateurs prudentiels</w:t>
      </w:r>
    </w:p>
    <w:p>
      <w:pPr>
        <w:spacing w:after="120" w:line="276"/>
      </w:pPr>
      <w:r>
        <w:rPr>
          <w:rFonts w:ascii="Calibri" w:cs="Calibri" w:eastAsia="Calibri" w:hAnsi="Calibri"/>
          <w:color w:val="1F2A33"/>
          <w:sz w:val="21"/>
          <w:szCs w:val="21"/>
        </w:rPr>
        <w:t xml:space="preserve">Qualité du portefeuille, efficacité, rentabilité, structure du bilan et normes prudentielles. Chaque ratio est affiché avec sa norme, son numérateur, son dénominateur et son verdict de conformité. Un ratio non calculable indique son motif et n'est jamais compté comme conforme.</w:t>
      </w:r>
    </w:p>
    <w:p>
      <w:pPr>
        <w:pBdr>
          <w:left w:val="single" w:color="00AEEA" w:sz="18" w:space="8"/>
        </w:pBdr>
        <w:shd w:fill="F4F7FA" w:val="clear"/>
        <w:spacing w:after="0" w:before="160"/>
      </w:pPr>
      <w:r>
        <w:rPr>
          <w:rFonts w:ascii="Calibri" w:cs="Calibri" w:eastAsia="Calibri" w:hAnsi="Calibri"/>
          <w:b/>
          <w:bCs/>
          <w:color w:val="0B3D5C"/>
          <w:sz w:val="21"/>
          <w:szCs w:val="21"/>
        </w:rPr>
        <w:t xml:space="preserve">Fonds propres : deux versions, un seul pilote</w:t>
      </w:r>
    </w:p>
    <w:p>
      <w:pPr>
        <w:pBdr>
          <w:left w:val="single" w:color="00AEEA" w:sz="18" w:space="8"/>
        </w:pBdr>
        <w:shd w:fill="F4F7FA" w:val="clear"/>
        <w:spacing w:after="200" w:before="40" w:line="276"/>
      </w:pPr>
      <w:r>
        <w:rPr>
          <w:rFonts w:ascii="Calibri" w:cs="Calibri" w:eastAsia="Calibri" w:hAnsi="Calibri"/>
          <w:color w:val="1F2A33"/>
          <w:sz w:val="20"/>
          <w:szCs w:val="20"/>
        </w:rPr>
        <w:t xml:space="preserve">Les fonds propres existent en deux versions. La version HORS RÉSULTAT (comptes 10 à 14) pilote l'intégralité des ratios : c'est la lecture réglementaire stricte, le résultat non affecté n'étant pas du capital. La version avec résultat affecté est affichée à titre d'information et n'entre dans aucun ratio. Les afficher sans le dire reviendrait à laisser choisir la plus flatteuse.</w:t>
      </w:r>
    </w:p>
    <w:p>
      <w:pPr>
        <w:pStyle w:val="Heading2"/>
        <w:spacing w:after="140" w:before="280"/>
      </w:pPr>
      <w:r>
        <w:rPr>
          <w:rFonts w:ascii="Calibri" w:cs="Calibri" w:eastAsia="Calibri" w:hAnsi="Calibri"/>
          <w:b/>
          <w:bCs/>
          <w:color w:val="1B5E86"/>
          <w:sz w:val="25"/>
          <w:szCs w:val="25"/>
        </w:rPr>
        <w:t xml:space="preserve">4.4 Épargne</w:t>
      </w:r>
    </w:p>
    <w:p>
      <w:pPr>
        <w:spacing w:after="120" w:line="276"/>
      </w:pPr>
      <w:r>
        <w:rPr>
          <w:rFonts w:ascii="Calibri" w:cs="Calibri" w:eastAsia="Calibri" w:hAnsi="Calibri"/>
          <w:color w:val="1F2A33"/>
          <w:sz w:val="21"/>
          <w:szCs w:val="21"/>
        </w:rPr>
        <w:t xml:space="preserve">Encours, ventilation par type de dépôt et par devise, nombre d'épargnants. La classification des produits suit la règle arrêtée par le contrôle de gestion : dépôts à terme, épargne obligatoire, et à vue pour le reste.</w:t>
      </w:r>
    </w:p>
    <w:p>
      <w:pPr>
        <w:pBdr>
          <w:left w:val="single" w:color="00AEEA" w:sz="18" w:space="8"/>
        </w:pBdr>
        <w:shd w:fill="F4F7FA" w:val="clear"/>
        <w:spacing w:after="0" w:before="160"/>
      </w:pPr>
      <w:r>
        <w:rPr>
          <w:rFonts w:ascii="Calibri" w:cs="Calibri" w:eastAsia="Calibri" w:hAnsi="Calibri"/>
          <w:b/>
          <w:bCs/>
          <w:color w:val="0B3D5C"/>
          <w:sz w:val="21"/>
          <w:szCs w:val="21"/>
        </w:rPr>
        <w:t xml:space="preserve">Deux unités qui ne se mélangent jamais</w:t>
      </w:r>
    </w:p>
    <w:p>
      <w:pPr>
        <w:pBdr>
          <w:left w:val="single" w:color="00AEEA" w:sz="18" w:space="8"/>
        </w:pBdr>
        <w:shd w:fill="F4F7FA" w:val="clear"/>
        <w:spacing w:after="200" w:before="40" w:line="276"/>
      </w:pPr>
      <w:r>
        <w:rPr>
          <w:rFonts w:ascii="Calibri" w:cs="Calibri" w:eastAsia="Calibri" w:hAnsi="Calibri"/>
          <w:color w:val="1F2A33"/>
          <w:sz w:val="20"/>
          <w:szCs w:val="20"/>
        </w:rPr>
        <w:t xml:space="preserve">Les montants par devise sont présentés dans leur devise d'émission et ne s'additionnent pas entre eux — additionner des francs congolais à des dollars produirait un nombre qui ne désigne rien. Une colonne de contre-valeur en dollars, convertie au taux de l'arrêté, rend ces montants comparables : c'est elle, et elle seule, qui se totalise. Le total converti est confronté à l'encours du moteur, et l'écart est affiché — deux chemins de calcul pour le même nombre.</w:t>
      </w:r>
    </w:p>
    <w:p>
      <w:pPr>
        <w:spacing w:after="120" w:line="276"/>
      </w:pPr>
      <w:r>
        <w:rPr>
          <w:rFonts w:ascii="Calibri" w:cs="Calibri" w:eastAsia="Calibri" w:hAnsi="Calibri"/>
          <w:color w:val="1F2A33"/>
          <w:sz w:val="21"/>
          <w:szCs w:val="21"/>
        </w:rPr>
        <w:t xml:space="preserve">Les dépôts à vue alimentent le ratio de liquidité immédiate : c'est ce chiffre qui relie le domaine épargne aux indicateurs prudentiels.</w:t>
      </w:r>
    </w:p>
    <w:p>
      <w:pPr>
        <w:pStyle w:val="Heading2"/>
        <w:spacing w:after="140" w:before="280"/>
      </w:pPr>
      <w:r>
        <w:rPr>
          <w:rFonts w:ascii="Calibri" w:cs="Calibri" w:eastAsia="Calibri" w:hAnsi="Calibri"/>
          <w:b/>
          <w:bCs/>
          <w:color w:val="1B5E86"/>
          <w:sz w:val="25"/>
          <w:szCs w:val="25"/>
        </w:rPr>
        <w:t xml:space="preserve">4.5 Budget</w:t>
      </w:r>
    </w:p>
    <w:p>
      <w:pPr>
        <w:spacing w:after="120" w:line="276"/>
      </w:pPr>
      <w:r>
        <w:rPr>
          <w:rFonts w:ascii="Calibri" w:cs="Calibri" w:eastAsia="Calibri" w:hAnsi="Calibri"/>
          <w:color w:val="1F2A33"/>
          <w:sz w:val="21"/>
          <w:szCs w:val="21"/>
        </w:rPr>
        <w:t xml:space="preserve">Le suivi budgétaire repose sur une doctrine figée avec le contrôle de gestion, et sur un principe d'intégrité : la plateforme s'en tient à la balance, sans retraitement. Les retraitements éventuels se font hors plateforme, à partir des exports.</w:t>
      </w:r>
    </w:p>
    <w:p>
      <w:pPr>
        <w:pStyle w:val="Heading3"/>
        <w:spacing w:after="100" w:before="200"/>
      </w:pPr>
      <w:r>
        <w:rPr>
          <w:rFonts w:ascii="Calibri" w:cs="Calibri" w:eastAsia="Calibri" w:hAnsi="Calibri"/>
          <w:b/>
          <w:bCs/>
          <w:color w:val="1F2A33"/>
          <w:sz w:val="22"/>
          <w:szCs w:val="22"/>
        </w:rPr>
        <w:t xml:space="preserve">Deux volets stricts</w:t>
      </w:r>
    </w:p>
    <w:p>
      <w:pPr>
        <w:spacing w:after="120" w:line="276"/>
      </w:pPr>
      <w:r>
        <w:rPr>
          <w:rFonts w:ascii="Calibri" w:cs="Calibri" w:eastAsia="Calibri" w:hAnsi="Calibri"/>
          <w:color w:val="1F2A33"/>
          <w:sz w:val="21"/>
          <w:szCs w:val="21"/>
        </w:rPr>
        <w:t xml:space="preserve">Les charges et les produits font l'objet de deux suivis distincts, jamais mélangés. Additionner une charge et un produit ne donne rien de lisible, et un taux de réalisation calculé sur un tel total serait pire encore.</w:t>
      </w:r>
    </w:p>
    <w:p>
      <w:pPr>
        <w:pStyle w:val="Heading3"/>
        <w:spacing w:after="100" w:before="200"/>
      </w:pPr>
      <w:r>
        <w:rPr>
          <w:rFonts w:ascii="Calibri" w:cs="Calibri" w:eastAsia="Calibri" w:hAnsi="Calibri"/>
          <w:b/>
          <w:bCs/>
          <w:color w:val="1F2A33"/>
          <w:sz w:val="22"/>
          <w:szCs w:val="22"/>
        </w:rPr>
        <w:t xml:space="preserve">Trois lectures</w:t>
      </w:r>
    </w:p>
    <w:tbl>
      <w:tblPr>
        <w:tblW w:type="dxa" w:w="9360"/>
        <w:tblBorders>
          <w:top w:val="single" w:color="D5DCE4" w:sz="4"/>
          <w:left w:val="none" w:color="FFFFFF" w:sz="0"/>
          <w:bottom w:val="single" w:color="D5DCE4" w:sz="4"/>
          <w:right w:val="none" w:color="FFFFFF" w:sz="0"/>
          <w:insideH w:val="single" w:color="D5DCE4" w:sz="2"/>
          <w:insideV w:val="none" w:color="FFFFFF" w:sz="0"/>
        </w:tblBorders>
      </w:tblPr>
      <w:tblGrid>
        <w:gridCol w:w="2100"/>
        <w:gridCol w:w="2700"/>
        <w:gridCol w:w="4560"/>
      </w:tblGrid>
      <w:tr>
        <w:trPr>
          <w:tblHeader/>
        </w:trPr>
        <w:tc>
          <w:tcPr>
            <w:tcW w:type="dxa" w:w="21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Lecture</w:t>
            </w:r>
          </w:p>
        </w:tc>
        <w:tc>
          <w:tcPr>
            <w:tcW w:type="dxa" w:w="27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Réalisé comparé à</w:t>
            </w:r>
          </w:p>
        </w:tc>
        <w:tc>
          <w:tcPr>
            <w:tcW w:type="dxa" w:w="456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Question à laquelle elle répond</w:t>
            </w:r>
          </w:p>
        </w:tc>
      </w:tr>
      <w:tr>
        <w:tc>
          <w:tcPr>
            <w:tcW w:type="dxa" w:w="21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Mensuelle</w:t>
            </w:r>
          </w:p>
        </w:tc>
        <w:tc>
          <w:tcPr>
            <w:tcW w:type="dxa" w:w="27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Budget du mois</w:t>
            </w:r>
          </w:p>
        </w:tc>
        <w:tc>
          <w:tcPr>
            <w:tcW w:type="dxa" w:w="45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Ce mois-ci, a-t-on dépensé ou encaissé ce qui était prévu pour le mois ?</w:t>
            </w:r>
          </w:p>
        </w:tc>
      </w:tr>
      <w:tr>
        <w:tc>
          <w:tcPr>
            <w:tcW w:type="dxa" w:w="21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Progression annuelle</w:t>
            </w:r>
          </w:p>
        </w:tc>
        <w:tc>
          <w:tcPr>
            <w:tcW w:type="dxa" w:w="27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Budget annuel total</w:t>
            </w:r>
          </w:p>
        </w:tc>
        <w:tc>
          <w:tcPr>
            <w:tcW w:type="dxa" w:w="45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Depuis janvier, quelle part du budget de l'année a-t-on consommée ?</w:t>
            </w:r>
          </w:p>
        </w:tc>
      </w:tr>
      <w:tr>
        <w:tc>
          <w:tcPr>
            <w:tcW w:type="dxa" w:w="21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Réalisation à date</w:t>
            </w:r>
          </w:p>
        </w:tc>
        <w:tc>
          <w:tcPr>
            <w:tcW w:type="dxa" w:w="27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Budget cumulé des mois écoulés</w:t>
            </w:r>
          </w:p>
        </w:tc>
        <w:tc>
          <w:tcPr>
            <w:tcW w:type="dxa" w:w="45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À ce stade de l'année, est-on en avance ou en retard sur le prévu ?</w:t>
            </w:r>
          </w:p>
        </w:tc>
      </w:tr>
    </w:tbl>
    <w:p>
      <w:pPr>
        <w:spacing w:after="160"/>
      </w:pPr>
    </w:p>
    <w:p>
      <w:pPr>
        <w:pBdr>
          <w:left w:val="single" w:color="00AEEA" w:sz="18" w:space="8"/>
        </w:pBdr>
        <w:shd w:fill="F4F7FA" w:val="clear"/>
        <w:spacing w:after="0" w:before="160"/>
      </w:pPr>
      <w:r>
        <w:rPr>
          <w:rFonts w:ascii="Calibri" w:cs="Calibri" w:eastAsia="Calibri" w:hAnsi="Calibri"/>
          <w:b/>
          <w:bCs/>
          <w:color w:val="0B3D5C"/>
          <w:sz w:val="21"/>
          <w:szCs w:val="21"/>
        </w:rPr>
        <w:t xml:space="preserve">Pourquoi le réalisé mensuel est fragile</w:t>
      </w:r>
    </w:p>
    <w:p>
      <w:pPr>
        <w:pBdr>
          <w:left w:val="single" w:color="00AEEA" w:sz="18" w:space="8"/>
        </w:pBdr>
        <w:shd w:fill="F4F7FA" w:val="clear"/>
        <w:spacing w:after="200" w:before="40" w:line="276"/>
      </w:pPr>
      <w:r>
        <w:rPr>
          <w:rFonts w:ascii="Calibri" w:cs="Calibri" w:eastAsia="Calibri" w:hAnsi="Calibri"/>
          <w:color w:val="1F2A33"/>
          <w:sz w:val="20"/>
          <w:szCs w:val="20"/>
        </w:rPr>
        <w:t xml:space="preserve">La balance comptable arrive en cumulé depuis janvier. Le réalisé d'un mois est donc une DIFFÉRENCE : cumulé du mois moins cumulé du mois précédent. Si la balance du mois précédent n'est pas chargée, cette différence vaut le cumul de plusieurs mois, et ce cumul s'affiche en face d'un budget d'un seul mois — un taux de réalisation à 700 % sans qu'aucune erreur ne soit levée. La plateforme détecte ce cas et désactive la lecture mensuelle en expliquant pourquoi. Le mois de janvier fait exception : le cumul y repart de zéro, et il EST le réalisé du mois.</w:t>
      </w:r>
    </w:p>
    <w:p>
      <w:pPr>
        <w:spacing w:after="120" w:line="276"/>
      </w:pPr>
      <w:r>
        <w:rPr>
          <w:rFonts w:ascii="Calibri" w:cs="Calibri" w:eastAsia="Calibri" w:hAnsi="Calibri"/>
          <w:color w:val="1F2A33"/>
          <w:sz w:val="21"/>
          <w:szCs w:val="21"/>
        </w:rPr>
        <w:t xml:space="preserve">Une ligne budgétaire sans budget porte un tiret en budget, en écart et en taux : seul son réalisé est retenu. Un « 0,00 » se lirait « budgété à zéro », ce qui n'est pas la même chose, et l'écart vaudrait alors le réalisé entier, présenté comme un dépassement.</w:t>
      </w:r>
    </w:p>
    <w:p>
      <w:pPr>
        <w:pStyle w:val="Heading2"/>
        <w:spacing w:after="140" w:before="280"/>
      </w:pPr>
      <w:r>
        <w:rPr>
          <w:rFonts w:ascii="Calibri" w:cs="Calibri" w:eastAsia="Calibri" w:hAnsi="Calibri"/>
          <w:b/>
          <w:bCs/>
          <w:color w:val="1B5E86"/>
          <w:sz w:val="25"/>
          <w:szCs w:val="25"/>
        </w:rPr>
        <w:t xml:space="preserve">4.6 Rapports réglementaires</w:t>
      </w:r>
    </w:p>
    <w:tbl>
      <w:tblPr>
        <w:tblW w:type="dxa" w:w="9360"/>
        <w:tblBorders>
          <w:top w:val="single" w:color="D5DCE4" w:sz="4"/>
          <w:left w:val="none" w:color="FFFFFF" w:sz="0"/>
          <w:bottom w:val="single" w:color="D5DCE4" w:sz="4"/>
          <w:right w:val="none" w:color="FFFFFF" w:sz="0"/>
          <w:insideH w:val="single" w:color="D5DCE4" w:sz="2"/>
          <w:insideV w:val="none" w:color="FFFFFF" w:sz="0"/>
        </w:tblBorders>
      </w:tblPr>
      <w:tblGrid>
        <w:gridCol w:w="2300"/>
        <w:gridCol w:w="7060"/>
      </w:tblGrid>
      <w:tr>
        <w:trPr>
          <w:tblHeader/>
        </w:trPr>
        <w:tc>
          <w:tcPr>
            <w:tcW w:type="dxa" w:w="23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Rapport</w:t>
            </w:r>
          </w:p>
        </w:tc>
        <w:tc>
          <w:tcPr>
            <w:tcW w:type="dxa" w:w="706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Ce que la plateforme produit</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FINA</w:t>
            </w:r>
          </w:p>
        </w:tc>
        <w:tc>
          <w:tcPr>
            <w:tcW w:type="dxa" w:w="70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Le gabarit officiel de la Banque centrale, rempli en francs congolais : feuilles F0, F1, F2, F3, F5, F6, F7, F10 et F11. Les feuilles F4a, F4b, F8, F9 et F12 ne sont jamais touchées et restent telles que la BCC les a livrées.</w:t>
            </w:r>
          </w:p>
        </w:tc>
      </w:tr>
      <w:tr>
        <w:tc>
          <w:tcPr>
            <w:tcW w:type="dxa" w:w="23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AML / LBC-FT</w:t>
            </w:r>
          </w:p>
        </w:tc>
        <w:tc>
          <w:tcPr>
            <w:tcW w:type="dxa" w:w="70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La déclaration anti-blanchiment : opérations en espèces par seuil, transferts, portefeuille client, localisation par province.</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Système de paiement</w:t>
            </w:r>
          </w:p>
        </w:tc>
        <w:tc>
          <w:tcPr>
            <w:tcW w:type="dxa" w:w="70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Un classeur de RÉSULTATS — comptes actifs et dormants, transactions par devise. Le gabarit officiel n'est pas rempli, et la plateforme le signale explicitement.</w:t>
            </w:r>
          </w:p>
        </w:tc>
      </w:tr>
    </w:tbl>
    <w:p>
      <w:pPr>
        <w:spacing w:after="160"/>
      </w:pPr>
    </w:p>
    <w:p>
      <w:pPr>
        <w:spacing w:after="120" w:line="276"/>
      </w:pPr>
      <w:r>
        <w:rPr>
          <w:rFonts w:ascii="Calibri" w:cs="Calibri" w:eastAsia="Calibri" w:hAnsi="Calibri"/>
          <w:color w:val="1F2A33"/>
          <w:sz w:val="21"/>
          <w:szCs w:val="21"/>
        </w:rPr>
        <w:t xml:space="preserve">Une génération LIT le socle : elle n'y écrit rien. C'est pourquoi elle est ouverte à l'audit interne — recalculer une déclaration pour la vérifier est le travail d'un contrôleur.</w:t>
      </w:r>
    </w:p>
    <w:p>
      <w:pPr>
        <w:pBdr>
          <w:left w:val="single" w:color="00AEEA" w:sz="18" w:space="8"/>
        </w:pBdr>
        <w:shd w:fill="F4F7FA" w:val="clear"/>
        <w:spacing w:after="0" w:before="160"/>
      </w:pPr>
      <w:r>
        <w:rPr>
          <w:rFonts w:ascii="Calibri" w:cs="Calibri" w:eastAsia="Calibri" w:hAnsi="Calibri"/>
          <w:b/>
          <w:bCs/>
          <w:color w:val="0B3D5C"/>
          <w:sz w:val="21"/>
          <w:szCs w:val="21"/>
        </w:rPr>
        <w:t xml:space="preserve">Le taux de change ne se devine pas</w:t>
      </w:r>
    </w:p>
    <w:p>
      <w:pPr>
        <w:pBdr>
          <w:left w:val="single" w:color="00AEEA" w:sz="18" w:space="8"/>
        </w:pBdr>
        <w:shd w:fill="F4F7FA" w:val="clear"/>
        <w:spacing w:after="200" w:before="40" w:line="276"/>
      </w:pPr>
      <w:r>
        <w:rPr>
          <w:rFonts w:ascii="Calibri" w:cs="Calibri" w:eastAsia="Calibri" w:hAnsi="Calibri"/>
          <w:color w:val="1F2A33"/>
          <w:sz w:val="20"/>
          <w:szCs w:val="20"/>
        </w:rPr>
        <w:t xml:space="preserve">FINA et AML se déclarent en francs congolais. Si le taux de la période n'est pas saisi, la génération échoue avec un message qui dit quoi faire. Ces documents partent à la Banque centrale : un rapport converti au taux du mois précédent a la bonne apparence, les bonnes cases remplies, et il est faux.</w:t>
      </w:r>
    </w:p>
    <w:p>
      <w:pPr>
        <w:pStyle w:val="Heading2"/>
        <w:spacing w:after="140" w:before="280"/>
      </w:pPr>
      <w:r>
        <w:rPr>
          <w:rFonts w:ascii="Calibri" w:cs="Calibri" w:eastAsia="Calibri" w:hAnsi="Calibri"/>
          <w:b/>
          <w:bCs/>
          <w:color w:val="1B5E86"/>
          <w:sz w:val="25"/>
          <w:szCs w:val="25"/>
        </w:rPr>
        <w:t xml:space="preserve">4.7 Configuration : ce qui ne se calcule pas</w:t>
      </w:r>
    </w:p>
    <w:p>
      <w:pPr>
        <w:spacing w:after="120" w:line="276"/>
      </w:pPr>
      <w:r>
        <w:rPr>
          <w:rFonts w:ascii="Calibri" w:cs="Calibri" w:eastAsia="Calibri" w:hAnsi="Calibri"/>
          <w:color w:val="1F2A33"/>
          <w:sz w:val="21"/>
          <w:szCs w:val="21"/>
        </w:rPr>
        <w:t xml:space="preserve">Certaines données ne se déduisent d'aucune source et doivent être saisies. Un écran dédié, réservé à la direction et au contrôle de gestion, les regroupe.</w:t>
      </w:r>
    </w:p>
    <w:p>
      <w:pPr>
        <w:pStyle w:val="ListParagraph"/>
        <w:numPr>
          <w:ilvl w:val="0"/>
          <w:numId w:val="2"/>
        </w:numPr>
        <w:spacing w:after="80" w:line="276"/>
      </w:pPr>
      <w:r>
        <w:rPr>
          <w:rFonts w:ascii="Calibri" w:cs="Calibri" w:eastAsia="Calibri" w:hAnsi="Calibri"/>
          <w:b/>
          <w:bCs/>
          <w:color w:val="1F2A33"/>
          <w:sz w:val="21"/>
          <w:szCs w:val="21"/>
        </w:rPr>
        <w:t xml:space="preserve">Taux de change officiel</w:t>
      </w:r>
      <w:r>
        <w:rPr>
          <w:rFonts w:ascii="Calibri" w:cs="Calibri" w:eastAsia="Calibri" w:hAnsi="Calibri"/>
          <w:color w:val="1F2A33"/>
          <w:sz w:val="21"/>
          <w:szCs w:val="21"/>
        </w:rPr>
        <w:t xml:space="preserve"> — publié par la Banque centrale, versionné à date d'effet.</w:t>
      </w:r>
    </w:p>
    <w:p>
      <w:pPr>
        <w:pStyle w:val="ListParagraph"/>
        <w:numPr>
          <w:ilvl w:val="0"/>
          <w:numId w:val="2"/>
        </w:numPr>
        <w:spacing w:after="80" w:line="276"/>
      </w:pPr>
      <w:r>
        <w:rPr>
          <w:rFonts w:ascii="Calibri" w:cs="Calibri" w:eastAsia="Calibri" w:hAnsi="Calibri"/>
          <w:b/>
          <w:bCs/>
          <w:color w:val="1F2A33"/>
          <w:sz w:val="21"/>
          <w:szCs w:val="21"/>
        </w:rPr>
        <w:t xml:space="preserve">Provision spéciale des agences fermées</w:t>
      </w:r>
      <w:r>
        <w:rPr>
          <w:rFonts w:ascii="Calibri" w:cs="Calibri" w:eastAsia="Calibri" w:hAnsi="Calibri"/>
          <w:color w:val="1F2A33"/>
          <w:sz w:val="21"/>
          <w:szCs w:val="21"/>
        </w:rPr>
        <w:t xml:space="preserve"> — le prélèvement de 1 % par mois cumulé sur l'agence de Goma est une décision comptable validée par la DAF. La plateforme l'enregistre, tracée et horodatée ; elle ne le calcule pas. Le montant saisi remplace le barème automatique pour l'agence concernée, ce qui évite tout double comptage.</w:t>
      </w:r>
    </w:p>
    <w:p>
      <w:pPr>
        <w:pStyle w:val="ListParagraph"/>
        <w:numPr>
          <w:ilvl w:val="0"/>
          <w:numId w:val="2"/>
        </w:numPr>
        <w:spacing w:after="80" w:line="276"/>
      </w:pPr>
      <w:r>
        <w:rPr>
          <w:rFonts w:ascii="Calibri" w:cs="Calibri" w:eastAsia="Calibri" w:hAnsi="Calibri"/>
          <w:b/>
          <w:bCs/>
          <w:color w:val="1F2A33"/>
          <w:sz w:val="21"/>
          <w:szCs w:val="21"/>
        </w:rPr>
        <w:t xml:space="preserve">Grille de réintégrations fiscales</w:t>
      </w:r>
      <w:r>
        <w:rPr>
          <w:rFonts w:ascii="Calibri" w:cs="Calibri" w:eastAsia="Calibri" w:hAnsi="Calibri"/>
          <w:color w:val="1F2A33"/>
          <w:sz w:val="21"/>
          <w:szCs w:val="21"/>
        </w:rPr>
        <w:t xml:space="preserve"> — deux natures sont amorcées, la grille reste à compléter avec la DAF. Les taux se saisissent en pourcentage et sont contrôlés : une valeur hors bornes multiplierait l'impôt par cent.</w:t>
      </w:r>
    </w:p>
    <w:p>
      <w:pPr>
        <w:pStyle w:val="ListParagraph"/>
        <w:numPr>
          <w:ilvl w:val="0"/>
          <w:numId w:val="2"/>
        </w:numPr>
        <w:spacing w:after="80" w:line="276"/>
      </w:pPr>
      <w:r>
        <w:rPr>
          <w:rFonts w:ascii="Calibri" w:cs="Calibri" w:eastAsia="Calibri" w:hAnsi="Calibri"/>
          <w:b/>
          <w:bCs/>
          <w:color w:val="1F2A33"/>
          <w:sz w:val="21"/>
          <w:szCs w:val="21"/>
        </w:rPr>
        <w:t xml:space="preserve">Mapping budgétaire</w:t>
      </w:r>
      <w:r>
        <w:rPr>
          <w:rFonts w:ascii="Calibri" w:cs="Calibri" w:eastAsia="Calibri" w:hAnsi="Calibri"/>
          <w:color w:val="1F2A33"/>
          <w:sz w:val="21"/>
          <w:szCs w:val="21"/>
        </w:rPr>
        <w:t xml:space="preserve"> — correspondance entre comptes comptables et lignes budgétaires, importable en un passage et modifiable compte par compte.</w:t>
      </w:r>
    </w:p>
    <w:p>
      <w:pPr>
        <w:pStyle w:val="ListParagraph"/>
        <w:numPr>
          <w:ilvl w:val="0"/>
          <w:numId w:val="2"/>
        </w:numPr>
        <w:spacing w:after="80" w:line="276"/>
      </w:pPr>
      <w:r>
        <w:rPr>
          <w:rFonts w:ascii="Calibri" w:cs="Calibri" w:eastAsia="Calibri" w:hAnsi="Calibri"/>
          <w:b/>
          <w:bCs/>
          <w:color w:val="1F2A33"/>
          <w:sz w:val="21"/>
          <w:szCs w:val="21"/>
        </w:rPr>
        <w:t xml:space="preserve">Référentiel des agences</w:t>
      </w:r>
      <w:r>
        <w:rPr>
          <w:rFonts w:ascii="Calibri" w:cs="Calibri" w:eastAsia="Calibri" w:hAnsi="Calibri"/>
          <w:color w:val="1F2A33"/>
          <w:sz w:val="21"/>
          <w:szCs w:val="21"/>
        </w:rPr>
        <w:t xml:space="preserve"> — ouvrir, fermer, suspendre, rouvrir. Fermer une agence n'efface ni son nom, ni sa région, ni sa date d'ouverture : son portefeuille reste déclarable.</w:t>
      </w:r>
    </w:p>
    <w:p>
      <w:pPr>
        <w:pStyle w:val="Heading2"/>
        <w:spacing w:after="140" w:before="280"/>
      </w:pPr>
      <w:r>
        <w:rPr>
          <w:rFonts w:ascii="Calibri" w:cs="Calibri" w:eastAsia="Calibri" w:hAnsi="Calibri"/>
          <w:b/>
          <w:bCs/>
          <w:color w:val="1B5E86"/>
          <w:sz w:val="25"/>
          <w:szCs w:val="25"/>
        </w:rPr>
        <w:t xml:space="preserve">4.8 Exports</w:t>
      </w:r>
    </w:p>
    <w:p>
      <w:pPr>
        <w:spacing w:after="120" w:line="276"/>
      </w:pPr>
      <w:r>
        <w:rPr>
          <w:rFonts w:ascii="Calibri" w:cs="Calibri" w:eastAsia="Calibri" w:hAnsi="Calibri"/>
          <w:color w:val="1F2A33"/>
          <w:sz w:val="21"/>
          <w:szCs w:val="21"/>
        </w:rPr>
        <w:t xml:space="preserve">Chaque tableau de bord dispose d'un export Excel produit par les mêmes moteurs que l'écran : ce qui est exporté est ce qui est affiché, au cloisonnement près. Chaque feuille porte un bandeau de traçabilité — arrêté, périmètre, source, horodatage et auteur. Un classeur détaché de son écran doit pouvoir être daté et attribué sans témoin.</w:t>
      </w:r>
    </w:p>
    <w:p>
      <w:r>
        <w:br w:type="page"/>
      </w:r>
    </w:p>
    <w:p>
      <w:pPr>
        <w:pStyle w:val="Heading1"/>
        <w:spacing w:after="180" w:before="360"/>
      </w:pPr>
      <w:r>
        <w:rPr>
          <w:rFonts w:ascii="Calibri" w:cs="Calibri" w:eastAsia="Calibri" w:hAnsi="Calibri"/>
          <w:b/>
          <w:bCs/>
          <w:color w:val="0B3D5C"/>
          <w:sz w:val="30"/>
          <w:szCs w:val="30"/>
        </w:rPr>
        <w:t xml:space="preserve">5. Sécurité et cloisonnement</w:t>
      </w:r>
    </w:p>
    <w:p>
      <w:pPr>
        <w:pStyle w:val="Heading2"/>
        <w:spacing w:after="140" w:before="280"/>
      </w:pPr>
      <w:r>
        <w:rPr>
          <w:rFonts w:ascii="Calibri" w:cs="Calibri" w:eastAsia="Calibri" w:hAnsi="Calibri"/>
          <w:b/>
          <w:bCs/>
          <w:color w:val="1B5E86"/>
          <w:sz w:val="25"/>
          <w:szCs w:val="25"/>
        </w:rPr>
        <w:t xml:space="preserve">5.1 Quatre rôles</w:t>
      </w:r>
    </w:p>
    <w:tbl>
      <w:tblPr>
        <w:tblW w:type="dxa" w:w="9360"/>
        <w:tblBorders>
          <w:top w:val="single" w:color="D5DCE4" w:sz="4"/>
          <w:left w:val="none" w:color="FFFFFF" w:sz="0"/>
          <w:bottom w:val="single" w:color="D5DCE4" w:sz="4"/>
          <w:right w:val="none" w:color="FFFFFF" w:sz="0"/>
          <w:insideH w:val="single" w:color="D5DCE4" w:sz="2"/>
          <w:insideV w:val="none" w:color="FFFFFF" w:sz="0"/>
        </w:tblBorders>
      </w:tblPr>
      <w:tblGrid>
        <w:gridCol w:w="2400"/>
        <w:gridCol w:w="4760"/>
        <w:gridCol w:w="2200"/>
      </w:tblGrid>
      <w:tr>
        <w:trPr>
          <w:tblHeader/>
        </w:trPr>
        <w:tc>
          <w:tcPr>
            <w:tcW w:type="dxa" w:w="24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Rôle</w:t>
            </w:r>
          </w:p>
        </w:tc>
        <w:tc>
          <w:tcPr>
            <w:tcW w:type="dxa" w:w="476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Périmètre</w:t>
            </w:r>
          </w:p>
        </w:tc>
        <w:tc>
          <w:tcPr>
            <w:tcW w:type="dxa" w:w="22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Peut alimenter ?</w:t>
            </w:r>
          </w:p>
        </w:tc>
      </w:tr>
      <w:tr>
        <w:tc>
          <w:tcPr>
            <w:tcW w:type="dxa" w:w="24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Direction</w:t>
            </w:r>
          </w:p>
        </w:tc>
        <w:tc>
          <w:tcPr>
            <w:tcW w:type="dxa" w:w="47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Institution entière</w:t>
            </w:r>
          </w:p>
        </w:tc>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Oui</w:t>
            </w:r>
          </w:p>
        </w:tc>
      </w:tr>
      <w:tr>
        <w:tc>
          <w:tcPr>
            <w:tcW w:type="dxa" w:w="24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Contrôle de gestion</w:t>
            </w:r>
          </w:p>
        </w:tc>
        <w:tc>
          <w:tcPr>
            <w:tcW w:type="dxa" w:w="47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Institution entière</w:t>
            </w:r>
          </w:p>
        </w:tc>
        <w:tc>
          <w:tcPr>
            <w:tcW w:type="dxa" w:w="22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Oui</w:t>
            </w:r>
          </w:p>
        </w:tc>
      </w:tr>
      <w:tr>
        <w:tc>
          <w:tcPr>
            <w:tcW w:type="dxa" w:w="24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Audit</w:t>
            </w:r>
          </w:p>
        </w:tc>
        <w:tc>
          <w:tcPr>
            <w:tcW w:type="dxa" w:w="47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Institution entière, en lecture</w:t>
            </w:r>
          </w:p>
        </w:tc>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Non</w:t>
            </w:r>
          </w:p>
        </w:tc>
      </w:tr>
      <w:tr>
        <w:tc>
          <w:tcPr>
            <w:tcW w:type="dxa" w:w="24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Agence</w:t>
            </w:r>
          </w:p>
        </w:tc>
        <w:tc>
          <w:tcPr>
            <w:tcW w:type="dxa" w:w="47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Sa seule agence</w:t>
            </w:r>
          </w:p>
        </w:tc>
        <w:tc>
          <w:tcPr>
            <w:tcW w:type="dxa" w:w="22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Non</w:t>
            </w:r>
          </w:p>
        </w:tc>
      </w:tr>
    </w:tbl>
    <w:p>
      <w:pPr>
        <w:spacing w:after="160"/>
      </w:pPr>
    </w:p>
    <w:p>
      <w:pPr>
        <w:pBdr>
          <w:left w:val="single" w:color="00AEEA" w:sz="18" w:space="8"/>
        </w:pBdr>
        <w:shd w:fill="F4F7FA" w:val="clear"/>
        <w:spacing w:after="0" w:before="160"/>
      </w:pPr>
      <w:r>
        <w:rPr>
          <w:rFonts w:ascii="Calibri" w:cs="Calibri" w:eastAsia="Calibri" w:hAnsi="Calibri"/>
          <w:b/>
          <w:bCs/>
          <w:color w:val="0B3D5C"/>
          <w:sz w:val="21"/>
          <w:szCs w:val="21"/>
        </w:rPr>
        <w:t xml:space="preserve">L'audit lit tout, mais n'alimente rien</w:t>
      </w:r>
    </w:p>
    <w:p>
      <w:pPr>
        <w:pBdr>
          <w:left w:val="single" w:color="00AEEA" w:sz="18" w:space="8"/>
        </w:pBdr>
        <w:shd w:fill="F4F7FA" w:val="clear"/>
        <w:spacing w:after="200" w:before="40" w:line="276"/>
      </w:pPr>
      <w:r>
        <w:rPr>
          <w:rFonts w:ascii="Calibri" w:cs="Calibri" w:eastAsia="Calibri" w:hAnsi="Calibri"/>
          <w:color w:val="1F2A33"/>
          <w:sz w:val="20"/>
          <w:szCs w:val="20"/>
        </w:rPr>
        <w:t xml:space="preserve">Un contrôleur ne remplit pas ce qu'il contrôle. Le rôle Audit a accès à l'intégralité des chiffres et peut générer une déclaration pour la vérifier, mais ne peut ni importer un fichier, ni modifier un paramètre.</w:t>
      </w:r>
    </w:p>
    <w:p>
      <w:pPr>
        <w:pStyle w:val="Heading2"/>
        <w:spacing w:after="140" w:before="280"/>
      </w:pPr>
      <w:r>
        <w:rPr>
          <w:rFonts w:ascii="Calibri" w:cs="Calibri" w:eastAsia="Calibri" w:hAnsi="Calibri"/>
          <w:b/>
          <w:bCs/>
          <w:color w:val="1B5E86"/>
          <w:sz w:val="25"/>
          <w:szCs w:val="25"/>
        </w:rPr>
        <w:t xml:space="preserve">5.2 Trois verrous indépendants</w:t>
      </w:r>
    </w:p>
    <w:p>
      <w:pPr>
        <w:spacing w:after="120" w:line="276"/>
      </w:pPr>
      <w:r>
        <w:rPr>
          <w:rFonts w:ascii="Calibri" w:cs="Calibri" w:eastAsia="Calibri" w:hAnsi="Calibri"/>
          <w:color w:val="1F2A33"/>
          <w:sz w:val="21"/>
          <w:szCs w:val="21"/>
        </w:rPr>
        <w:t xml:space="preserve">Le cloisonnement par agence n'est pas assuré par un seul mécanisme, mais par trois, indépendants les uns des autres.</w:t>
      </w:r>
    </w:p>
    <w:p>
      <w:pPr>
        <w:pStyle w:val="ListParagraph"/>
        <w:numPr>
          <w:ilvl w:val="0"/>
          <w:numId w:val="2"/>
        </w:numPr>
        <w:spacing w:after="80" w:line="276"/>
      </w:pPr>
      <w:r>
        <w:rPr>
          <w:rFonts w:ascii="Calibri" w:cs="Calibri" w:eastAsia="Calibri" w:hAnsi="Calibri"/>
          <w:b/>
          <w:bCs/>
          <w:color w:val="1F2A33"/>
          <w:sz w:val="21"/>
          <w:szCs w:val="21"/>
        </w:rPr>
        <w:t xml:space="preserve">Au niveau de la base</w:t>
      </w:r>
      <w:r>
        <w:rPr>
          <w:rFonts w:ascii="Calibri" w:cs="Calibri" w:eastAsia="Calibri" w:hAnsi="Calibri"/>
          <w:color w:val="1F2A33"/>
          <w:sz w:val="21"/>
          <w:szCs w:val="21"/>
        </w:rPr>
        <w:t xml:space="preserve"> — les règles de sécurité PostgreSQL filtrent les accès directs.</w:t>
      </w:r>
    </w:p>
    <w:p>
      <w:pPr>
        <w:pStyle w:val="ListParagraph"/>
        <w:numPr>
          <w:ilvl w:val="0"/>
          <w:numId w:val="2"/>
        </w:numPr>
        <w:spacing w:after="80" w:line="276"/>
      </w:pPr>
      <w:r>
        <w:rPr>
          <w:rFonts w:ascii="Calibri" w:cs="Calibri" w:eastAsia="Calibri" w:hAnsi="Calibri"/>
          <w:b/>
          <w:bCs/>
          <w:color w:val="1F2A33"/>
          <w:sz w:val="21"/>
          <w:szCs w:val="21"/>
        </w:rPr>
        <w:t xml:space="preserve">Au niveau de l'API</w:t>
      </w:r>
      <w:r>
        <w:rPr>
          <w:rFonts w:ascii="Calibri" w:cs="Calibri" w:eastAsia="Calibri" w:hAnsi="Calibri"/>
          <w:color w:val="1F2A33"/>
          <w:sz w:val="21"/>
          <w:szCs w:val="21"/>
        </w:rPr>
        <w:t xml:space="preserve"> — un filtre applicatif par agence, nécessaire parce que l'API se connecte à la base avec un compte technique qui n'est pas soumis aux règles précédentes.</w:t>
      </w:r>
    </w:p>
    <w:p>
      <w:pPr>
        <w:pStyle w:val="ListParagraph"/>
        <w:numPr>
          <w:ilvl w:val="0"/>
          <w:numId w:val="2"/>
        </w:numPr>
        <w:spacing w:after="80" w:line="276"/>
      </w:pPr>
      <w:r>
        <w:rPr>
          <w:rFonts w:ascii="Calibri" w:cs="Calibri" w:eastAsia="Calibri" w:hAnsi="Calibri"/>
          <w:b/>
          <w:bCs/>
          <w:color w:val="1F2A33"/>
          <w:sz w:val="21"/>
          <w:szCs w:val="21"/>
        </w:rPr>
        <w:t xml:space="preserve">Au niveau de l'interface</w:t>
      </w:r>
      <w:r>
        <w:rPr>
          <w:rFonts w:ascii="Calibri" w:cs="Calibri" w:eastAsia="Calibri" w:hAnsi="Calibri"/>
          <w:color w:val="1F2A33"/>
          <w:sz w:val="21"/>
          <w:szCs w:val="21"/>
        </w:rPr>
        <w:t xml:space="preserve"> — les écrans ne réclament pas ce que l'utilisateur n'a pas le droit de voir, et recalculent les totaux sur ses seules lignes.</w:t>
      </w:r>
    </w:p>
    <w:p>
      <w:pPr>
        <w:spacing w:after="120" w:line="276"/>
      </w:pPr>
      <w:r>
        <w:rPr>
          <w:rFonts w:ascii="Calibri" w:cs="Calibri" w:eastAsia="Calibri" w:hAnsi="Calibri"/>
          <w:color w:val="1F2A33"/>
          <w:sz w:val="21"/>
          <w:szCs w:val="21"/>
        </w:rPr>
        <w:t xml:space="preserve">Le troisième verrou ne protège rien par lui-même : une interface ne sécurise jamais une donnée. Il évite qu'un écran demande ou affiche ce qui serait de toute façon refusé.</w:t>
      </w:r>
    </w:p>
    <w:p>
      <w:pPr>
        <w:pStyle w:val="Heading2"/>
        <w:spacing w:after="140" w:before="280"/>
      </w:pPr>
      <w:r>
        <w:rPr>
          <w:rFonts w:ascii="Calibri" w:cs="Calibri" w:eastAsia="Calibri" w:hAnsi="Calibri"/>
          <w:b/>
          <w:bCs/>
          <w:color w:val="1B5E86"/>
          <w:sz w:val="25"/>
          <w:szCs w:val="25"/>
        </w:rPr>
        <w:t xml:space="preserve">5.3 Authentification</w:t>
      </w:r>
    </w:p>
    <w:p>
      <w:pPr>
        <w:spacing w:after="120" w:line="276"/>
      </w:pPr>
      <w:r>
        <w:rPr>
          <w:rFonts w:ascii="Calibri" w:cs="Calibri" w:eastAsia="Calibri" w:hAnsi="Calibri"/>
          <w:color w:val="1F2A33"/>
          <w:sz w:val="21"/>
          <w:szCs w:val="21"/>
        </w:rPr>
        <w:t xml:space="preserve">L'identité est vérifiée par Supabase, avec prise en charge des deux régimes de signature : clés asymétriques des projets récents et secret partagé hérité. Le rôle de l'utilisateur est toujours lu dans la table de référence, jamais dans le jeton — un utilisateur pourrait influencer le contenu de son jeton à l'inscription.</w:t>
      </w:r>
    </w:p>
    <w:p>
      <w:r>
        <w:br w:type="page"/>
      </w:r>
    </w:p>
    <w:p>
      <w:pPr>
        <w:pStyle w:val="Heading1"/>
        <w:spacing w:after="180" w:before="360"/>
      </w:pPr>
      <w:r>
        <w:rPr>
          <w:rFonts w:ascii="Calibri" w:cs="Calibri" w:eastAsia="Calibri" w:hAnsi="Calibri"/>
          <w:b/>
          <w:bCs/>
          <w:color w:val="0B3D5C"/>
          <w:sz w:val="30"/>
          <w:szCs w:val="30"/>
        </w:rPr>
        <w:t xml:space="preserve">6. Garanties de qualité</w:t>
      </w:r>
    </w:p>
    <w:p>
      <w:pPr>
        <w:pStyle w:val="Heading2"/>
        <w:spacing w:after="140" w:before="280"/>
      </w:pPr>
      <w:r>
        <w:rPr>
          <w:rFonts w:ascii="Calibri" w:cs="Calibri" w:eastAsia="Calibri" w:hAnsi="Calibri"/>
          <w:b/>
          <w:bCs/>
          <w:color w:val="1B5E86"/>
          <w:sz w:val="25"/>
          <w:szCs w:val="25"/>
        </w:rPr>
        <w:t xml:space="preserve">6.1 Ce que « validé » signifie ici</w:t>
      </w:r>
    </w:p>
    <w:p>
      <w:pPr>
        <w:spacing w:after="120" w:line="276"/>
      </w:pPr>
      <w:r>
        <w:rPr>
          <w:rFonts w:ascii="Calibri" w:cs="Calibri" w:eastAsia="Calibri" w:hAnsi="Calibri"/>
          <w:color w:val="1F2A33"/>
          <w:sz w:val="21"/>
          <w:szCs w:val="21"/>
        </w:rPr>
        <w:t xml:space="preserve">Un module n'est déclaré validé que lorsque ses chiffres, recalculés depuis le socle, coïncident au centime avec les fichiers de référence existants. Pas « approximativement », pas « dans la tolérance » : écart nul.</w:t>
      </w:r>
    </w:p>
    <w:tbl>
      <w:tblPr>
        <w:tblW w:type="dxa" w:w="9360"/>
        <w:tblBorders>
          <w:top w:val="single" w:color="D5DCE4" w:sz="4"/>
          <w:left w:val="none" w:color="FFFFFF" w:sz="0"/>
          <w:bottom w:val="single" w:color="D5DCE4" w:sz="4"/>
          <w:right w:val="none" w:color="FFFFFF" w:sz="0"/>
          <w:insideH w:val="single" w:color="D5DCE4" w:sz="2"/>
          <w:insideV w:val="none" w:color="FFFFFF" w:sz="0"/>
        </w:tblBorders>
      </w:tblPr>
      <w:tblGrid>
        <w:gridCol w:w="1900"/>
        <w:gridCol w:w="5460"/>
        <w:gridCol w:w="2000"/>
      </w:tblGrid>
      <w:tr>
        <w:trPr>
          <w:tblHeader/>
        </w:trPr>
        <w:tc>
          <w:tcPr>
            <w:tcW w:type="dxa" w:w="19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Domaine</w:t>
            </w:r>
          </w:p>
        </w:tc>
        <w:tc>
          <w:tcPr>
            <w:tcW w:type="dxa" w:w="546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Contrôle</w:t>
            </w:r>
          </w:p>
        </w:tc>
        <w:tc>
          <w:tcPr>
            <w:tcW w:type="dxa" w:w="20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Résultat</w:t>
            </w:r>
          </w:p>
        </w:tc>
      </w:tr>
      <w:tr>
        <w:tc>
          <w:tcPr>
            <w:tcW w:type="dxa" w:w="19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Crédit</w:t>
            </w:r>
          </w:p>
        </w:tc>
        <w:tc>
          <w:tcPr>
            <w:tcW w:type="dxa" w:w="54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PAR aux quatre niveaux contre le tableau de bord</w:t>
            </w:r>
          </w:p>
        </w:tc>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Écart nul</w:t>
            </w:r>
          </w:p>
        </w:tc>
      </w:tr>
      <w:tr>
        <w:tc>
          <w:tcPr>
            <w:tcW w:type="dxa" w:w="19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Provisions</w:t>
            </w:r>
          </w:p>
        </w:tc>
        <w:tc>
          <w:tcPr>
            <w:tcW w:type="dxa" w:w="54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Barème contre le fichier de référence</w:t>
            </w:r>
          </w:p>
        </w:tc>
        <w:tc>
          <w:tcPr>
            <w:tcW w:type="dxa" w:w="20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938 244,42 — identique</w:t>
            </w:r>
          </w:p>
        </w:tc>
      </w:tr>
      <w:tr>
        <w:tc>
          <w:tcPr>
            <w:tcW w:type="dxa" w:w="19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Comptabilité</w:t>
            </w:r>
          </w:p>
        </w:tc>
        <w:tc>
          <w:tcPr>
            <w:tcW w:type="dxa" w:w="54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Bilan et compte de résultat contre le fichier de référence</w:t>
            </w:r>
          </w:p>
        </w:tc>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Écart nul</w:t>
            </w:r>
          </w:p>
        </w:tc>
      </w:tr>
      <w:tr>
        <w:tc>
          <w:tcPr>
            <w:tcW w:type="dxa" w:w="19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Référentiel BCC</w:t>
            </w:r>
          </w:p>
        </w:tc>
        <w:tc>
          <w:tcPr>
            <w:tcW w:type="dxa" w:w="54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Les 86 lignes contre la déclaration de référence, sous-totaux et soldes intermédiaires compris</w:t>
            </w:r>
          </w:p>
        </w:tc>
        <w:tc>
          <w:tcPr>
            <w:tcW w:type="dxa" w:w="20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Écart nul, ligne à ligne</w:t>
            </w:r>
          </w:p>
        </w:tc>
      </w:tr>
      <w:tr>
        <w:tc>
          <w:tcPr>
            <w:tcW w:type="dxa" w:w="19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Épargne</w:t>
            </w:r>
          </w:p>
        </w:tc>
        <w:tc>
          <w:tcPr>
            <w:tcW w:type="dxa" w:w="54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Nombre d'épargnants contre la référence FINA</w:t>
            </w:r>
          </w:p>
        </w:tc>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67 147 contre 67 120</w:t>
            </w:r>
          </w:p>
        </w:tc>
      </w:tr>
      <w:tr>
        <w:tc>
          <w:tcPr>
            <w:tcW w:type="dxa" w:w="19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Cohérence bilan</w:t>
            </w:r>
          </w:p>
        </w:tc>
        <w:tc>
          <w:tcPr>
            <w:tcW w:type="dxa" w:w="54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Épargne inventaire contre dépôts du bilan</w:t>
            </w:r>
          </w:p>
        </w:tc>
        <w:tc>
          <w:tcPr>
            <w:tcW w:type="dxa" w:w="20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Écart de 0,6 %</w:t>
            </w:r>
          </w:p>
        </w:tc>
      </w:tr>
      <w:tr>
        <w:tc>
          <w:tcPr>
            <w:tcW w:type="dxa" w:w="19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FINA</w:t>
            </w:r>
          </w:p>
        </w:tc>
        <w:tc>
          <w:tcPr>
            <w:tcW w:type="dxa" w:w="54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Montants en francs congolais contre le gabarit</w:t>
            </w:r>
          </w:p>
        </w:tc>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Exacts au franc près</w:t>
            </w:r>
          </w:p>
        </w:tc>
      </w:tr>
    </w:tbl>
    <w:p>
      <w:pPr>
        <w:pStyle w:val="Heading2"/>
        <w:spacing w:after="140" w:before="280"/>
      </w:pPr>
      <w:r>
        <w:rPr>
          <w:rFonts w:ascii="Calibri" w:cs="Calibri" w:eastAsia="Calibri" w:hAnsi="Calibri"/>
          <w:b/>
          <w:bCs/>
          <w:color w:val="1B5E86"/>
          <w:sz w:val="25"/>
          <w:szCs w:val="25"/>
        </w:rPr>
        <w:t xml:space="preserve">6.2 Deux chemins pour le même nombre</w:t>
      </w:r>
    </w:p>
    <w:p>
      <w:pPr>
        <w:spacing w:after="120" w:line="276"/>
      </w:pPr>
      <w:r>
        <w:rPr>
          <w:rFonts w:ascii="Calibri" w:cs="Calibri" w:eastAsia="Calibri" w:hAnsi="Calibri"/>
          <w:color w:val="1F2A33"/>
          <w:sz w:val="21"/>
          <w:szCs w:val="21"/>
        </w:rPr>
        <w:t xml:space="preserve">Plusieurs contrôles reposent sur le même procédé : calculer un chiffre de deux façons indépendantes et comparer. L'écart doit rester nul, et il est publié à chaque appel plutôt que supposé.</w:t>
      </w:r>
    </w:p>
    <w:p>
      <w:pPr>
        <w:pStyle w:val="ListParagraph"/>
        <w:numPr>
          <w:ilvl w:val="0"/>
          <w:numId w:val="2"/>
        </w:numPr>
        <w:spacing w:after="80" w:line="276"/>
      </w:pPr>
      <w:r>
        <w:rPr>
          <w:rFonts w:ascii="Calibri" w:cs="Calibri" w:eastAsia="Calibri" w:hAnsi="Calibri"/>
          <w:b/>
          <w:bCs/>
          <w:color w:val="1F2A33"/>
          <w:sz w:val="21"/>
          <w:szCs w:val="21"/>
        </w:rPr>
        <w:t xml:space="preserve">Référentiel contre agrégat</w:t>
      </w:r>
      <w:r>
        <w:rPr>
          <w:rFonts w:ascii="Calibri" w:cs="Calibri" w:eastAsia="Calibri" w:hAnsi="Calibri"/>
          <w:color w:val="1F2A33"/>
          <w:sz w:val="21"/>
          <w:szCs w:val="21"/>
        </w:rPr>
        <w:t xml:space="preserve"> — le total du bilan détaillé et celui du bilan résumé doivent coïncider. Un écart signale un compte que le référentiel ne sait pas placer, et la liste le nomme.</w:t>
      </w:r>
    </w:p>
    <w:p>
      <w:pPr>
        <w:pStyle w:val="ListParagraph"/>
        <w:numPr>
          <w:ilvl w:val="0"/>
          <w:numId w:val="2"/>
        </w:numPr>
        <w:spacing w:after="80" w:line="276"/>
      </w:pPr>
      <w:r>
        <w:rPr>
          <w:rFonts w:ascii="Calibri" w:cs="Calibri" w:eastAsia="Calibri" w:hAnsi="Calibri"/>
          <w:b/>
          <w:bCs/>
          <w:color w:val="1F2A33"/>
          <w:sz w:val="21"/>
          <w:szCs w:val="21"/>
        </w:rPr>
        <w:t xml:space="preserve">Épargne convertie contre encours moteur</w:t>
      </w:r>
      <w:r>
        <w:rPr>
          <w:rFonts w:ascii="Calibri" w:cs="Calibri" w:eastAsia="Calibri" w:hAnsi="Calibri"/>
          <w:color w:val="1F2A33"/>
          <w:sz w:val="21"/>
          <w:szCs w:val="21"/>
        </w:rPr>
        <w:t xml:space="preserve"> — la somme des contre-valeurs en dollars doit retomber sur l'encours calculé par le moteur.</w:t>
      </w:r>
    </w:p>
    <w:p>
      <w:pPr>
        <w:pStyle w:val="ListParagraph"/>
        <w:numPr>
          <w:ilvl w:val="0"/>
          <w:numId w:val="2"/>
        </w:numPr>
        <w:spacing w:after="80" w:line="276"/>
      </w:pPr>
      <w:r>
        <w:rPr>
          <w:rFonts w:ascii="Calibri" w:cs="Calibri" w:eastAsia="Calibri" w:hAnsi="Calibri"/>
          <w:b/>
          <w:bCs/>
          <w:color w:val="1F2A33"/>
          <w:sz w:val="21"/>
          <w:szCs w:val="21"/>
        </w:rPr>
        <w:t xml:space="preserve">Crédit contre balance</w:t>
      </w:r>
      <w:r>
        <w:rPr>
          <w:rFonts w:ascii="Calibri" w:cs="Calibri" w:eastAsia="Calibri" w:hAnsi="Calibri"/>
          <w:color w:val="1F2A33"/>
          <w:sz w:val="21"/>
          <w:szCs w:val="21"/>
        </w:rPr>
        <w:t xml:space="preserve"> — l'invariant X-1 décrit plus haut.</w:t>
      </w:r>
    </w:p>
    <w:p>
      <w:pPr>
        <w:pStyle w:val="Heading2"/>
        <w:spacing w:after="140" w:before="280"/>
      </w:pPr>
      <w:r>
        <w:rPr>
          <w:rFonts w:ascii="Calibri" w:cs="Calibri" w:eastAsia="Calibri" w:hAnsi="Calibri"/>
          <w:b/>
          <w:bCs/>
          <w:color w:val="1B5E86"/>
          <w:sz w:val="25"/>
          <w:szCs w:val="25"/>
        </w:rPr>
        <w:t xml:space="preserve">6.3 Campagne de validation automatisée</w:t>
      </w:r>
    </w:p>
    <w:p>
      <w:pPr>
        <w:spacing w:after="120" w:line="276"/>
      </w:pPr>
      <w:r>
        <w:rPr>
          <w:rFonts w:ascii="Calibri" w:cs="Calibri" w:eastAsia="Calibri" w:hAnsi="Calibri"/>
          <w:color w:val="1F2A33"/>
          <w:sz w:val="21"/>
          <w:szCs w:val="21"/>
        </w:rPr>
        <w:t xml:space="preserve">Treize suites de tests couvrent le socle, la sécurité, l'import, chaque domaine métier et les rapports réglementaires. Le verdict distingue quatre états et ne les confond jamais : validé, partiel, non validé faute de sources, et en échec. Un test sauté n'est pas un succès, et la campagne refuse d'annoncer « tout validé » si un seul cas n'a pas été exécuté.</w:t>
      </w:r>
    </w:p>
    <w:p>
      <w:pPr>
        <w:spacing w:after="120" w:line="276"/>
      </w:pPr>
      <w:r>
        <w:rPr>
          <w:rFonts w:ascii="Calibri" w:cs="Calibri" w:eastAsia="Calibri" w:hAnsi="Calibri"/>
          <w:color w:val="1F2A33"/>
          <w:sz w:val="21"/>
          <w:szCs w:val="21"/>
        </w:rPr>
        <w:t xml:space="preserve">Les cas de test gardent les défauts réellement rencontrés en production. Chacun porte la trace de ce qui s'est passé et de ce qu'il empêche de se reproduire — un test dont on a oublié la raison d'être finit par être supprimé le jour où il gêne.</w:t>
      </w:r>
    </w:p>
    <w:p>
      <w:r>
        <w:br w:type="page"/>
      </w:r>
    </w:p>
    <w:p>
      <w:pPr>
        <w:pStyle w:val="Heading1"/>
        <w:spacing w:after="180" w:before="360"/>
      </w:pPr>
      <w:r>
        <w:rPr>
          <w:rFonts w:ascii="Calibri" w:cs="Calibri" w:eastAsia="Calibri" w:hAnsi="Calibri"/>
          <w:b/>
          <w:bCs/>
          <w:color w:val="0B3D5C"/>
          <w:sz w:val="30"/>
          <w:szCs w:val="30"/>
        </w:rPr>
        <w:t xml:space="preserve">7. Limites connues et points ouverts</w:t>
      </w:r>
    </w:p>
    <w:p>
      <w:pPr>
        <w:spacing w:after="120" w:line="276"/>
      </w:pPr>
      <w:r>
        <w:rPr>
          <w:rFonts w:ascii="Calibri" w:cs="Calibri" w:eastAsia="Calibri" w:hAnsi="Calibri"/>
          <w:color w:val="1F2A33"/>
          <w:sz w:val="21"/>
          <w:szCs w:val="21"/>
        </w:rPr>
        <w:t xml:space="preserve">Cette section est volontairement explicite. Un outil de pilotage dont on ignore les limites est plus dangereux qu'un outil limité dont on les connaît.</w:t>
      </w:r>
    </w:p>
    <w:p>
      <w:pPr>
        <w:pStyle w:val="Heading2"/>
        <w:spacing w:after="140" w:before="280"/>
      </w:pPr>
      <w:r>
        <w:rPr>
          <w:rFonts w:ascii="Calibri" w:cs="Calibri" w:eastAsia="Calibri" w:hAnsi="Calibri"/>
          <w:b/>
          <w:bCs/>
          <w:color w:val="1B5E86"/>
          <w:sz w:val="25"/>
          <w:szCs w:val="25"/>
        </w:rPr>
        <w:t xml:space="preserve">7.1 Anomalies détectées dans les données</w:t>
      </w:r>
    </w:p>
    <w:tbl>
      <w:tblPr>
        <w:tblW w:type="dxa" w:w="9360"/>
        <w:tblBorders>
          <w:top w:val="single" w:color="D5DCE4" w:sz="4"/>
          <w:left w:val="none" w:color="FFFFFF" w:sz="0"/>
          <w:bottom w:val="single" w:color="D5DCE4" w:sz="4"/>
          <w:right w:val="none" w:color="FFFFFF" w:sz="0"/>
          <w:insideH w:val="single" w:color="D5DCE4" w:sz="2"/>
          <w:insideV w:val="none" w:color="FFFFFF" w:sz="0"/>
        </w:tblBorders>
      </w:tblPr>
      <w:tblGrid>
        <w:gridCol w:w="2500"/>
        <w:gridCol w:w="4460"/>
        <w:gridCol w:w="2400"/>
      </w:tblGrid>
      <w:tr>
        <w:trPr>
          <w:tblHeader/>
        </w:trPr>
        <w:tc>
          <w:tcPr>
            <w:tcW w:type="dxa" w:w="25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Constat</w:t>
            </w:r>
          </w:p>
        </w:tc>
        <w:tc>
          <w:tcPr>
            <w:tcW w:type="dxa" w:w="446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Portée</w:t>
            </w:r>
          </w:p>
        </w:tc>
        <w:tc>
          <w:tcPr>
            <w:tcW w:type="dxa" w:w="24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Action attendue</w:t>
            </w:r>
          </w:p>
        </w:tc>
      </w:tr>
      <w:tr>
        <w:tc>
          <w:tcPr>
            <w:tcW w:type="dxa" w:w="25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Balance d'avril 2026 déséquilibrée de 19 959,48</w:t>
            </w:r>
          </w:p>
        </w:tc>
        <w:tc>
          <w:tcPr>
            <w:tcW w:type="dxa" w:w="44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Le bilan de cet arrêté ne boucle pas. Tout ce qui en découle est à lire avec cette réserve.</w:t>
            </w:r>
          </w:p>
        </w:tc>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Vérifier l'export comptable de la période.</w:t>
            </w:r>
          </w:p>
        </w:tc>
      </w:tr>
      <w:tr>
        <w:tc>
          <w:tcPr>
            <w:tcW w:type="dxa" w:w="25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Cinq lignes du mapping budgétaire incomplètes</w:t>
            </w:r>
          </w:p>
        </w:tc>
        <w:tc>
          <w:tcPr>
            <w:tcW w:type="dxa" w:w="44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Quatre comptes de charge sans ligne budgétaire, une ligne de produit sans compte. Ces comptes ne sont rattachés à rien et leur réalisé n'apparaît nulle part.</w:t>
            </w:r>
          </w:p>
        </w:tc>
        <w:tc>
          <w:tcPr>
            <w:tcW w:type="dxa" w:w="24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Compléter le fichier de mapping.</w:t>
            </w:r>
          </w:p>
        </w:tc>
      </w:tr>
      <w:tr>
        <w:tc>
          <w:tcPr>
            <w:tcW w:type="dxa" w:w="25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Lignes de totaux importées comme lignes budgétaires</w:t>
            </w:r>
          </w:p>
        </w:tc>
        <w:tc>
          <w:tcPr>
            <w:tcW w:type="dxa" w:w="44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 Total produits », « Résultat mensuel » et quelques autres. Elles ne polluent aucun total à l'écran — la séparation charges/produits les écarte — mais n'ont pas lieu d'être.</w:t>
            </w:r>
          </w:p>
        </w:tc>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Nettoyer le fichier budget.</w:t>
            </w:r>
          </w:p>
        </w:tc>
      </w:tr>
      <w:tr>
        <w:tc>
          <w:tcPr>
            <w:tcW w:type="dxa" w:w="2500"/>
            <w:shd w:fill="F4F7FA" w:val="clear"/>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Un compte budgétaire en double</w:t>
            </w:r>
          </w:p>
        </w:tc>
        <w:tc>
          <w:tcPr>
            <w:tcW w:type="dxa" w:w="44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La dernière occurrence l'emporte en lecture : si les deux pointent vers des lignes différentes, le rattachement change sans prévenir.</w:t>
            </w:r>
          </w:p>
        </w:tc>
        <w:tc>
          <w:tcPr>
            <w:tcW w:type="dxa" w:w="24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Arbitrer le doublon.</w:t>
            </w:r>
          </w:p>
        </w:tc>
      </w:tr>
      <w:tr>
        <w:tc>
          <w:tcPr>
            <w:tcW w:type="dxa" w:w="2500"/>
            <w:tcMar>
              <w:top w:type="dxa" w:w="80"/>
              <w:left w:type="dxa" w:w="120"/>
              <w:bottom w:type="dxa" w:w="80"/>
              <w:right w:type="dxa" w:w="120"/>
            </w:tcMar>
          </w:tcPr>
          <w:p>
            <w:pPr>
              <w:spacing w:after="0" w:line="252"/>
            </w:pPr>
            <w:r>
              <w:rPr>
                <w:rFonts w:ascii="Calibri" w:cs="Calibri" w:eastAsia="Calibri" w:hAnsi="Calibri"/>
                <w:b/>
                <w:bCs/>
                <w:color w:val="1F2A33"/>
                <w:sz w:val="19"/>
                <w:szCs w:val="19"/>
              </w:rPr>
              <w:t xml:space="preserve">Inventaire dépôt non chargé</w:t>
            </w:r>
          </w:p>
        </w:tc>
        <w:tc>
          <w:tcPr>
            <w:tcW w:type="dxa" w:w="44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Le domaine épargne et le ratio de liquidité n'ont pas de données sur la base de production.</w:t>
            </w:r>
          </w:p>
        </w:tc>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Importer l'inventaire.</w:t>
            </w:r>
          </w:p>
        </w:tc>
      </w:tr>
    </w:tbl>
    <w:p>
      <w:pPr>
        <w:pStyle w:val="Heading2"/>
        <w:spacing w:after="140" w:before="280"/>
      </w:pPr>
      <w:r>
        <w:rPr>
          <w:rFonts w:ascii="Calibri" w:cs="Calibri" w:eastAsia="Calibri" w:hAnsi="Calibri"/>
          <w:b/>
          <w:bCs/>
          <w:color w:val="1B5E86"/>
          <w:sz w:val="25"/>
          <w:szCs w:val="25"/>
        </w:rPr>
        <w:t xml:space="preserve">7.2 Limites fonctionnelles</w:t>
      </w:r>
    </w:p>
    <w:p>
      <w:pPr>
        <w:pStyle w:val="ListParagraph"/>
        <w:numPr>
          <w:ilvl w:val="0"/>
          <w:numId w:val="2"/>
        </w:numPr>
        <w:spacing w:after="80" w:line="276"/>
      </w:pPr>
      <w:r>
        <w:rPr>
          <w:rFonts w:ascii="Calibri" w:cs="Calibri" w:eastAsia="Calibri" w:hAnsi="Calibri"/>
          <w:b/>
          <w:bCs/>
          <w:color w:val="1F2A33"/>
          <w:sz w:val="21"/>
          <w:szCs w:val="21"/>
        </w:rPr>
        <w:t xml:space="preserve">Effectif de référence</w:t>
      </w:r>
      <w:r>
        <w:rPr>
          <w:rFonts w:ascii="Calibri" w:cs="Calibri" w:eastAsia="Calibri" w:hAnsi="Calibri"/>
          <w:color w:val="1F2A33"/>
          <w:sz w:val="21"/>
          <w:szCs w:val="21"/>
        </w:rPr>
        <w:t xml:space="preserve"> — le nombre d'agents utilisé par le ratio « emprunteurs par agent » provient du fichier d'objectifs (39 agents) alors que le rapport RH officiel en compte 29. Ce ratio réglementaire doit s'appuyer sur l'effectif RH, à saisir mensuellement.</w:t>
      </w:r>
    </w:p>
    <w:p>
      <w:pPr>
        <w:pStyle w:val="ListParagraph"/>
        <w:numPr>
          <w:ilvl w:val="0"/>
          <w:numId w:val="2"/>
        </w:numPr>
        <w:spacing w:after="80" w:line="276"/>
      </w:pPr>
      <w:r>
        <w:rPr>
          <w:rFonts w:ascii="Calibri" w:cs="Calibri" w:eastAsia="Calibri" w:hAnsi="Calibri"/>
          <w:b/>
          <w:bCs/>
          <w:color w:val="1F2A33"/>
          <w:sz w:val="21"/>
          <w:szCs w:val="21"/>
        </w:rPr>
        <w:t xml:space="preserve">Couverture des emplois à moyen et long terme</w:t>
      </w:r>
      <w:r>
        <w:rPr>
          <w:rFonts w:ascii="Calibri" w:cs="Calibri" w:eastAsia="Calibri" w:hAnsi="Calibri"/>
          <w:color w:val="1F2A33"/>
          <w:sz w:val="21"/>
          <w:szCs w:val="21"/>
        </w:rPr>
        <w:t xml:space="preserve"> — l'indicateur n'est pas calculé : la distinction des ressources et emplois à plus d'un an n'est pas encore disponible dans les sources.</w:t>
      </w:r>
    </w:p>
    <w:p>
      <w:pPr>
        <w:pStyle w:val="ListParagraph"/>
        <w:numPr>
          <w:ilvl w:val="0"/>
          <w:numId w:val="2"/>
        </w:numPr>
        <w:spacing w:after="80" w:line="276"/>
      </w:pPr>
      <w:r>
        <w:rPr>
          <w:rFonts w:ascii="Calibri" w:cs="Calibri" w:eastAsia="Calibri" w:hAnsi="Calibri"/>
          <w:b/>
          <w:bCs/>
          <w:color w:val="1F2A33"/>
          <w:sz w:val="21"/>
          <w:szCs w:val="21"/>
        </w:rPr>
        <w:t xml:space="preserve">Impôt sur le bénéfice</w:t>
      </w:r>
      <w:r>
        <w:rPr>
          <w:rFonts w:ascii="Calibri" w:cs="Calibri" w:eastAsia="Calibri" w:hAnsi="Calibri"/>
          <w:color w:val="1F2A33"/>
          <w:sz w:val="21"/>
          <w:szCs w:val="21"/>
        </w:rPr>
        <w:t xml:space="preserve"> — tant que la grille de réintégrations n'est pas complète, le résultat du 31 décembre est un résultat AVANT impôt. Les ratios de rentabilité qui en découlent sont donc surévalués, et la plateforme le signale.</w:t>
      </w:r>
    </w:p>
    <w:p>
      <w:pPr>
        <w:pStyle w:val="ListParagraph"/>
        <w:numPr>
          <w:ilvl w:val="0"/>
          <w:numId w:val="2"/>
        </w:numPr>
        <w:spacing w:after="80" w:line="276"/>
      </w:pPr>
      <w:r>
        <w:rPr>
          <w:rFonts w:ascii="Calibri" w:cs="Calibri" w:eastAsia="Calibri" w:hAnsi="Calibri"/>
          <w:b/>
          <w:bCs/>
          <w:color w:val="1F2A33"/>
          <w:sz w:val="21"/>
          <w:szCs w:val="21"/>
        </w:rPr>
        <w:t xml:space="preserve">Système de paiement</w:t>
      </w:r>
      <w:r>
        <w:rPr>
          <w:rFonts w:ascii="Calibri" w:cs="Calibri" w:eastAsia="Calibri" w:hAnsi="Calibri"/>
          <w:color w:val="1F2A33"/>
          <w:sz w:val="21"/>
          <w:szCs w:val="21"/>
        </w:rPr>
        <w:t xml:space="preserve"> — la plateforme produit les chiffres mais ne remplit pas le gabarit officiel de la Banque centrale.</w:t>
      </w:r>
    </w:p>
    <w:p>
      <w:pPr>
        <w:pStyle w:val="ListParagraph"/>
        <w:numPr>
          <w:ilvl w:val="0"/>
          <w:numId w:val="2"/>
        </w:numPr>
        <w:spacing w:after="80" w:line="276"/>
      </w:pPr>
      <w:r>
        <w:rPr>
          <w:rFonts w:ascii="Calibri" w:cs="Calibri" w:eastAsia="Calibri" w:hAnsi="Calibri"/>
          <w:b/>
          <w:bCs/>
          <w:color w:val="1F2A33"/>
          <w:sz w:val="21"/>
          <w:szCs w:val="21"/>
        </w:rPr>
        <w:t xml:space="preserve">Reproductibilité du suivi budgétaire</w:t>
      </w:r>
      <w:r>
        <w:rPr>
          <w:rFonts w:ascii="Calibri" w:cs="Calibri" w:eastAsia="Calibri" w:hAnsi="Calibri"/>
          <w:color w:val="1F2A33"/>
          <w:sz w:val="21"/>
          <w:szCs w:val="21"/>
        </w:rPr>
        <w:t xml:space="preserve"> — le mapping est une donnée transversale : le dernier chargé s'applique à tous les mois. Rejouer un mois déjà publié après une réaffectation ne redonnera donc pas exactement les chiffres publiés à l'époque. L'historique des versions est conservé.</w:t>
      </w:r>
    </w:p>
    <w:p>
      <w:r>
        <w:br w:type="page"/>
      </w:r>
    </w:p>
    <w:p>
      <w:pPr>
        <w:pStyle w:val="Heading1"/>
        <w:spacing w:after="180" w:before="360"/>
      </w:pPr>
      <w:r>
        <w:rPr>
          <w:rFonts w:ascii="Calibri" w:cs="Calibri" w:eastAsia="Calibri" w:hAnsi="Calibri"/>
          <w:b/>
          <w:bCs/>
          <w:color w:val="0B3D5C"/>
          <w:sz w:val="30"/>
          <w:szCs w:val="30"/>
        </w:rPr>
        <w:t xml:space="preserve">8. Perspectives d'évolution</w:t>
      </w:r>
    </w:p>
    <w:p>
      <w:pPr>
        <w:pStyle w:val="Heading2"/>
        <w:spacing w:after="140" w:before="280"/>
      </w:pPr>
      <w:r>
        <w:rPr>
          <w:rFonts w:ascii="Calibri" w:cs="Calibri" w:eastAsia="Calibri" w:hAnsi="Calibri"/>
          <w:b/>
          <w:bCs/>
          <w:color w:val="1B5E86"/>
          <w:sz w:val="25"/>
          <w:szCs w:val="25"/>
        </w:rPr>
        <w:t xml:space="preserve">8.1 Court terme</w:t>
      </w:r>
    </w:p>
    <w:p>
      <w:pPr>
        <w:pStyle w:val="ListParagraph"/>
        <w:numPr>
          <w:ilvl w:val="0"/>
          <w:numId w:val="2"/>
        </w:numPr>
        <w:spacing w:after="80" w:line="276"/>
      </w:pPr>
      <w:r>
        <w:rPr>
          <w:rFonts w:ascii="Calibri" w:cs="Calibri" w:eastAsia="Calibri" w:hAnsi="Calibri"/>
          <w:b/>
          <w:bCs/>
          <w:color w:val="1F2A33"/>
          <w:sz w:val="21"/>
          <w:szCs w:val="21"/>
        </w:rPr>
        <w:t xml:space="preserve">Déploiement</w:t>
      </w:r>
      <w:r>
        <w:rPr>
          <w:rFonts w:ascii="Calibri" w:cs="Calibri" w:eastAsia="Calibri" w:hAnsi="Calibri"/>
          <w:color w:val="1F2A33"/>
          <w:sz w:val="21"/>
          <w:szCs w:val="21"/>
        </w:rPr>
        <w:t xml:space="preserve"> — mise en ligne de la plateforme sur un hébergement accessible aux utilisateurs.</w:t>
      </w:r>
    </w:p>
    <w:p>
      <w:pPr>
        <w:pStyle w:val="ListParagraph"/>
        <w:numPr>
          <w:ilvl w:val="0"/>
          <w:numId w:val="2"/>
        </w:numPr>
        <w:spacing w:after="80" w:line="276"/>
      </w:pPr>
      <w:r>
        <w:rPr>
          <w:rFonts w:ascii="Calibri" w:cs="Calibri" w:eastAsia="Calibri" w:hAnsi="Calibri"/>
          <w:b/>
          <w:bCs/>
          <w:color w:val="1F2A33"/>
          <w:sz w:val="21"/>
          <w:szCs w:val="21"/>
        </w:rPr>
        <w:t xml:space="preserve">Complétion des intrants</w:t>
      </w:r>
      <w:r>
        <w:rPr>
          <w:rFonts w:ascii="Calibri" w:cs="Calibri" w:eastAsia="Calibri" w:hAnsi="Calibri"/>
          <w:color w:val="1F2A33"/>
          <w:sz w:val="21"/>
          <w:szCs w:val="21"/>
        </w:rPr>
        <w:t xml:space="preserve"> — grille de réintégrations fiscales, effectif RH mensuel, nettoyage du mapping budgétaire.</w:t>
      </w:r>
    </w:p>
    <w:p>
      <w:pPr>
        <w:pStyle w:val="ListParagraph"/>
        <w:numPr>
          <w:ilvl w:val="0"/>
          <w:numId w:val="2"/>
        </w:numPr>
        <w:spacing w:after="80" w:line="276"/>
      </w:pPr>
      <w:r>
        <w:rPr>
          <w:rFonts w:ascii="Calibri" w:cs="Calibri" w:eastAsia="Calibri" w:hAnsi="Calibri"/>
          <w:b/>
          <w:bCs/>
          <w:color w:val="1F2A33"/>
          <w:sz w:val="21"/>
          <w:szCs w:val="21"/>
        </w:rPr>
        <w:t xml:space="preserve">Import du grand livre</w:t>
      </w:r>
      <w:r>
        <w:rPr>
          <w:rFonts w:ascii="Calibri" w:cs="Calibri" w:eastAsia="Calibri" w:hAnsi="Calibri"/>
          <w:color w:val="1F2A33"/>
          <w:sz w:val="21"/>
          <w:szCs w:val="21"/>
        </w:rPr>
        <w:t xml:space="preserve"> — dernier lot du domaine comptable, qui ouvrira le rapprochement détaillé des écritures.</w:t>
      </w:r>
    </w:p>
    <w:p>
      <w:pPr>
        <w:pStyle w:val="Heading2"/>
        <w:spacing w:after="140" w:before="280"/>
      </w:pPr>
      <w:r>
        <w:rPr>
          <w:rFonts w:ascii="Calibri" w:cs="Calibri" w:eastAsia="Calibri" w:hAnsi="Calibri"/>
          <w:b/>
          <w:bCs/>
          <w:color w:val="1B5E86"/>
          <w:sz w:val="25"/>
          <w:szCs w:val="25"/>
        </w:rPr>
        <w:t xml:space="preserve">8.2 Moyen terme</w:t>
      </w:r>
    </w:p>
    <w:p>
      <w:pPr>
        <w:pStyle w:val="ListParagraph"/>
        <w:numPr>
          <w:ilvl w:val="0"/>
          <w:numId w:val="2"/>
        </w:numPr>
        <w:spacing w:after="80" w:line="276"/>
      </w:pPr>
      <w:r>
        <w:rPr>
          <w:rFonts w:ascii="Calibri" w:cs="Calibri" w:eastAsia="Calibri" w:hAnsi="Calibri"/>
          <w:b/>
          <w:bCs/>
          <w:color w:val="1F2A33"/>
          <w:sz w:val="21"/>
          <w:szCs w:val="21"/>
        </w:rPr>
        <w:t xml:space="preserve">Élaboration budgétaire</w:t>
      </w:r>
      <w:r>
        <w:rPr>
          <w:rFonts w:ascii="Calibri" w:cs="Calibri" w:eastAsia="Calibri" w:hAnsi="Calibri"/>
          <w:color w:val="1F2A33"/>
          <w:sz w:val="21"/>
          <w:szCs w:val="21"/>
        </w:rPr>
        <w:t xml:space="preserve"> — la plateforme suit aujourd'hui l'exécution du budget. L'étape suivante est la construction des prévisions sur une base méthodique, à partir de l'historique désormais disponible.</w:t>
      </w:r>
    </w:p>
    <w:p>
      <w:pPr>
        <w:pStyle w:val="ListParagraph"/>
        <w:numPr>
          <w:ilvl w:val="0"/>
          <w:numId w:val="2"/>
        </w:numPr>
        <w:spacing w:after="80" w:line="276"/>
      </w:pPr>
      <w:r>
        <w:rPr>
          <w:rFonts w:ascii="Calibri" w:cs="Calibri" w:eastAsia="Calibri" w:hAnsi="Calibri"/>
          <w:b/>
          <w:bCs/>
          <w:color w:val="1F2A33"/>
          <w:sz w:val="21"/>
          <w:szCs w:val="21"/>
        </w:rPr>
        <w:t xml:space="preserve">Mode de clôture annuelle</w:t>
      </w:r>
      <w:r>
        <w:rPr>
          <w:rFonts w:ascii="Calibri" w:cs="Calibri" w:eastAsia="Calibri" w:hAnsi="Calibri"/>
          <w:color w:val="1F2A33"/>
          <w:sz w:val="21"/>
          <w:szCs w:val="21"/>
        </w:rPr>
        <w:t xml:space="preserve"> — distinct du suivi mensuel : raisonnement en stock de provisions plutôt qu'en différentiel, radiation des créances de plus de 360 jours, calcul de l'impôt.</w:t>
      </w:r>
    </w:p>
    <w:p>
      <w:pPr>
        <w:pStyle w:val="ListParagraph"/>
        <w:numPr>
          <w:ilvl w:val="0"/>
          <w:numId w:val="2"/>
        </w:numPr>
        <w:spacing w:after="80" w:line="276"/>
      </w:pPr>
      <w:r>
        <w:rPr>
          <w:rFonts w:ascii="Calibri" w:cs="Calibri" w:eastAsia="Calibri" w:hAnsi="Calibri"/>
          <w:b/>
          <w:bCs/>
          <w:color w:val="1F2A33"/>
          <w:sz w:val="21"/>
          <w:szCs w:val="21"/>
        </w:rPr>
        <w:t xml:space="preserve">Rentrées sur créances radiées</w:t>
      </w:r>
      <w:r>
        <w:rPr>
          <w:rFonts w:ascii="Calibri" w:cs="Calibri" w:eastAsia="Calibri" w:hAnsi="Calibri"/>
          <w:color w:val="1F2A33"/>
          <w:sz w:val="21"/>
          <w:szCs w:val="21"/>
        </w:rPr>
        <w:t xml:space="preserve"> — modélisation du produit correspondant et rapprochement avec le recouvrement.</w:t>
      </w:r>
    </w:p>
    <w:p>
      <w:pPr>
        <w:pStyle w:val="ListParagraph"/>
        <w:numPr>
          <w:ilvl w:val="0"/>
          <w:numId w:val="2"/>
        </w:numPr>
        <w:spacing w:after="80" w:line="276"/>
      </w:pPr>
      <w:r>
        <w:rPr>
          <w:rFonts w:ascii="Calibri" w:cs="Calibri" w:eastAsia="Calibri" w:hAnsi="Calibri"/>
          <w:b/>
          <w:bCs/>
          <w:color w:val="1F2A33"/>
          <w:sz w:val="21"/>
          <w:szCs w:val="21"/>
        </w:rPr>
        <w:t xml:space="preserve">Comparaisons multi-périodes</w:t>
      </w:r>
      <w:r>
        <w:rPr>
          <w:rFonts w:ascii="Calibri" w:cs="Calibri" w:eastAsia="Calibri" w:hAnsi="Calibri"/>
          <w:color w:val="1F2A33"/>
          <w:sz w:val="21"/>
          <w:szCs w:val="21"/>
        </w:rPr>
        <w:t xml:space="preserve"> — le socle est historisé par construction ; les écrans n'exploitent encore qu'un arrêté à la fois.</w:t>
      </w:r>
    </w:p>
    <w:p>
      <w:pPr>
        <w:pStyle w:val="Heading2"/>
        <w:spacing w:after="140" w:before="280"/>
      </w:pPr>
      <w:r>
        <w:rPr>
          <w:rFonts w:ascii="Calibri" w:cs="Calibri" w:eastAsia="Calibri" w:hAnsi="Calibri"/>
          <w:b/>
          <w:bCs/>
          <w:color w:val="1B5E86"/>
          <w:sz w:val="25"/>
          <w:szCs w:val="25"/>
        </w:rPr>
        <w:t xml:space="preserve">8.3 Horizon</w:t>
      </w:r>
    </w:p>
    <w:p>
      <w:pPr>
        <w:pStyle w:val="ListParagraph"/>
        <w:numPr>
          <w:ilvl w:val="0"/>
          <w:numId w:val="2"/>
        </w:numPr>
        <w:spacing w:after="80" w:line="276"/>
      </w:pPr>
      <w:r>
        <w:rPr>
          <w:rFonts w:ascii="Calibri" w:cs="Calibri" w:eastAsia="Calibri" w:hAnsi="Calibri"/>
          <w:b/>
          <w:bCs/>
          <w:color w:val="1F2A33"/>
          <w:sz w:val="21"/>
          <w:szCs w:val="21"/>
        </w:rPr>
        <w:t xml:space="preserve">Pilotage de la performance des agents</w:t>
      </w:r>
      <w:r>
        <w:rPr>
          <w:rFonts w:ascii="Calibri" w:cs="Calibri" w:eastAsia="Calibri" w:hAnsi="Calibri"/>
          <w:color w:val="1F2A33"/>
          <w:sz w:val="21"/>
          <w:szCs w:val="21"/>
        </w:rPr>
        <w:t xml:space="preserve"> — le roster et les objectifs sont déjà dans le socle ; la détection des portefeuilles orphelins fonctionne.</w:t>
      </w:r>
    </w:p>
    <w:p>
      <w:pPr>
        <w:pStyle w:val="ListParagraph"/>
        <w:numPr>
          <w:ilvl w:val="0"/>
          <w:numId w:val="2"/>
        </w:numPr>
        <w:spacing w:after="80" w:line="276"/>
      </w:pPr>
      <w:r>
        <w:rPr>
          <w:rFonts w:ascii="Calibri" w:cs="Calibri" w:eastAsia="Calibri" w:hAnsi="Calibri"/>
          <w:b/>
          <w:bCs/>
          <w:color w:val="1F2A33"/>
          <w:sz w:val="21"/>
          <w:szCs w:val="21"/>
        </w:rPr>
        <w:t xml:space="preserve">Domaine rémunération</w:t>
      </w:r>
      <w:r>
        <w:rPr>
          <w:rFonts w:ascii="Calibri" w:cs="Calibri" w:eastAsia="Calibri" w:hAnsi="Calibri"/>
          <w:color w:val="1F2A33"/>
          <w:sz w:val="21"/>
          <w:szCs w:val="21"/>
        </w:rPr>
        <w:t xml:space="preserve"> — barème de primes et correcteur de portefeuille à risque, déjà prévus au modèle de données.</w:t>
      </w:r>
    </w:p>
    <w:p>
      <w:pPr>
        <w:pStyle w:val="ListParagraph"/>
        <w:numPr>
          <w:ilvl w:val="0"/>
          <w:numId w:val="2"/>
        </w:numPr>
        <w:spacing w:after="80" w:line="276"/>
      </w:pPr>
      <w:r>
        <w:rPr>
          <w:rFonts w:ascii="Calibri" w:cs="Calibri" w:eastAsia="Calibri" w:hAnsi="Calibri"/>
          <w:b/>
          <w:bCs/>
          <w:color w:val="1F2A33"/>
          <w:sz w:val="21"/>
          <w:szCs w:val="21"/>
        </w:rPr>
        <w:t xml:space="preserve">Alertes et seuils</w:t>
      </w:r>
      <w:r>
        <w:rPr>
          <w:rFonts w:ascii="Calibri" w:cs="Calibri" w:eastAsia="Calibri" w:hAnsi="Calibri"/>
          <w:color w:val="1F2A33"/>
          <w:sz w:val="21"/>
          <w:szCs w:val="21"/>
        </w:rPr>
        <w:t xml:space="preserve"> — signalement automatique d'un ratio qui sort de sa norme, d'un import manquant ou d'un taux non saisi avant un arrêté.</w:t>
      </w:r>
    </w:p>
    <w:p>
      <w:pPr>
        <w:pStyle w:val="ListParagraph"/>
        <w:numPr>
          <w:ilvl w:val="0"/>
          <w:numId w:val="2"/>
        </w:numPr>
        <w:spacing w:after="80" w:line="276"/>
      </w:pPr>
      <w:r>
        <w:rPr>
          <w:rFonts w:ascii="Calibri" w:cs="Calibri" w:eastAsia="Calibri" w:hAnsi="Calibri"/>
          <w:b/>
          <w:bCs/>
          <w:color w:val="1F2A33"/>
          <w:sz w:val="21"/>
          <w:szCs w:val="21"/>
        </w:rPr>
        <w:t xml:space="preserve">Reproductibilité réglementaire</w:t>
      </w:r>
      <w:r>
        <w:rPr>
          <w:rFonts w:ascii="Calibri" w:cs="Calibri" w:eastAsia="Calibri" w:hAnsi="Calibri"/>
          <w:color w:val="1F2A33"/>
          <w:sz w:val="21"/>
          <w:szCs w:val="21"/>
        </w:rPr>
        <w:t xml:space="preserve"> — si la Banque centrale venait à exiger de rejouer une déclaration à l'identique, le mapping budgétaire devrait être figé par exercice. La structure de données le permet déjà.</w:t>
      </w:r>
    </w:p>
    <w:p>
      <w:r>
        <w:br w:type="page"/>
      </w:r>
    </w:p>
    <w:p>
      <w:pPr>
        <w:pStyle w:val="Heading1"/>
        <w:spacing w:after="180" w:before="360"/>
      </w:pPr>
      <w:r>
        <w:rPr>
          <w:rFonts w:ascii="Calibri" w:cs="Calibri" w:eastAsia="Calibri" w:hAnsi="Calibri"/>
          <w:b/>
          <w:bCs/>
          <w:color w:val="0B3D5C"/>
          <w:sz w:val="30"/>
          <w:szCs w:val="30"/>
        </w:rPr>
        <w:t xml:space="preserve">Annexe — Glossaire</w:t>
      </w:r>
    </w:p>
    <w:tbl>
      <w:tblPr>
        <w:tblW w:type="dxa" w:w="9360"/>
        <w:tblBorders>
          <w:top w:val="single" w:color="D5DCE4" w:sz="4"/>
          <w:left w:val="none" w:color="FFFFFF" w:sz="0"/>
          <w:bottom w:val="single" w:color="D5DCE4" w:sz="4"/>
          <w:right w:val="none" w:color="FFFFFF" w:sz="0"/>
          <w:insideH w:val="single" w:color="D5DCE4" w:sz="2"/>
          <w:insideV w:val="none" w:color="FFFFFF" w:sz="0"/>
        </w:tblBorders>
      </w:tblPr>
      <w:tblGrid>
        <w:gridCol w:w="2400"/>
        <w:gridCol w:w="6960"/>
      </w:tblGrid>
      <w:tr>
        <w:trPr>
          <w:tblHeader/>
        </w:trPr>
        <w:tc>
          <w:tcPr>
            <w:tcW w:type="dxa" w:w="240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Terme</w:t>
            </w:r>
          </w:p>
        </w:tc>
        <w:tc>
          <w:tcPr>
            <w:tcW w:type="dxa" w:w="6960"/>
            <w:shd w:fill="0B3D5C"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Définition</w:t>
            </w:r>
          </w:p>
        </w:tc>
      </w:tr>
      <w:tr>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Arrêté</w:t>
            </w:r>
          </w:p>
        </w:tc>
        <w:tc>
          <w:tcPr>
            <w:tcW w:type="dxa" w:w="69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Date comptable à laquelle une situation est constatée. C'est elle qui fait foi, et non la date d'import.</w:t>
            </w:r>
          </w:p>
        </w:tc>
      </w:tr>
      <w:tr>
        <w:tc>
          <w:tcPr>
            <w:tcW w:type="dxa" w:w="24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PAR 1 / 30 / 90</w:t>
            </w:r>
          </w:p>
        </w:tc>
        <w:tc>
          <w:tcPr>
            <w:tcW w:type="dxa" w:w="69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Portefeuille à risque : capital restant dû des crédits présentant au moins 1, 31 ou 91 jours de retard.</w:t>
            </w:r>
          </w:p>
        </w:tc>
      </w:tr>
      <w:tr>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Invariant X-1</w:t>
            </w:r>
          </w:p>
        </w:tc>
        <w:tc>
          <w:tcPr>
            <w:tcW w:type="dxa" w:w="69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Égalité entre l'encours de crédit issu de l'extraction des prêts et celui issu de la balance comptable.</w:t>
            </w:r>
          </w:p>
        </w:tc>
      </w:tr>
      <w:tr>
        <w:tc>
          <w:tcPr>
            <w:tcW w:type="dxa" w:w="24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FINA</w:t>
            </w:r>
          </w:p>
        </w:tc>
        <w:tc>
          <w:tcPr>
            <w:tcW w:type="dxa" w:w="69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États périodiques déclarés à la Banque centrale du Congo, sur gabarit officiel.</w:t>
            </w:r>
          </w:p>
        </w:tc>
      </w:tr>
      <w:tr>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LBC-FT</w:t>
            </w:r>
          </w:p>
        </w:tc>
        <w:tc>
          <w:tcPr>
            <w:tcW w:type="dxa" w:w="69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Lutte contre le blanchiment de capitaux et le financement du terrorisme.</w:t>
            </w:r>
          </w:p>
        </w:tc>
      </w:tr>
      <w:tr>
        <w:tc>
          <w:tcPr>
            <w:tcW w:type="dxa" w:w="24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Réalisé cumulé</w:t>
            </w:r>
          </w:p>
        </w:tc>
        <w:tc>
          <w:tcPr>
            <w:tcW w:type="dxa" w:w="69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Montant constaté depuis le 1er janvier, tel que la balance le porte.</w:t>
            </w:r>
          </w:p>
        </w:tc>
      </w:tr>
      <w:tr>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Réalisé mensuel</w:t>
            </w:r>
          </w:p>
        </w:tc>
        <w:tc>
          <w:tcPr>
            <w:tcW w:type="dxa" w:w="69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Différence entre le cumulé de l'arrêté et celui du mois précédent.</w:t>
            </w:r>
          </w:p>
        </w:tc>
      </w:tr>
      <w:tr>
        <w:tc>
          <w:tcPr>
            <w:tcW w:type="dxa" w:w="24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Mapping budgétaire</w:t>
            </w:r>
          </w:p>
        </w:tc>
        <w:tc>
          <w:tcPr>
            <w:tcW w:type="dxa" w:w="69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Correspondance entre un compte comptable et une ligne budgétaire.</w:t>
            </w:r>
          </w:p>
        </w:tc>
      </w:tr>
      <w:tr>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Provision manuelle</w:t>
            </w:r>
          </w:p>
        </w:tc>
        <w:tc>
          <w:tcPr>
            <w:tcW w:type="dxa" w:w="6960"/>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Montant de provision décidé par la DAF, qui remplace le barème automatique pour une agence.</w:t>
            </w:r>
          </w:p>
        </w:tc>
      </w:tr>
      <w:tr>
        <w:tc>
          <w:tcPr>
            <w:tcW w:type="dxa" w:w="240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Fonds propres de base</w:t>
            </w:r>
          </w:p>
        </w:tc>
        <w:tc>
          <w:tcPr>
            <w:tcW w:type="dxa" w:w="6960"/>
            <w:shd w:fill="F4F7FA" w:val="clear"/>
            <w:tcMar>
              <w:top w:type="dxa" w:w="80"/>
              <w:left w:type="dxa" w:w="120"/>
              <w:bottom w:type="dxa" w:w="80"/>
              <w:right w:type="dxa" w:w="120"/>
            </w:tcMar>
          </w:tcPr>
          <w:p>
            <w:pPr>
              <w:spacing w:after="0" w:line="252"/>
            </w:pPr>
            <w:r>
              <w:rPr>
                <w:rFonts w:ascii="Calibri" w:cs="Calibri" w:eastAsia="Calibri" w:hAnsi="Calibri"/>
                <w:b w:val="false"/>
                <w:bCs w:val="false"/>
                <w:color w:val="1F2A33"/>
                <w:sz w:val="19"/>
                <w:szCs w:val="19"/>
              </w:rPr>
              <w:t xml:space="preserve">Comptes 10 à 14, résultat non affecté. Version qui pilote tous les ratios prudentiels.</w:t>
            </w:r>
          </w:p>
        </w:tc>
      </w:tr>
    </w:tbl>
    <w:p>
      <w:pPr>
        <w:spacing w:before="400"/>
      </w:pPr>
    </w:p>
    <w:p>
      <w:pPr>
        <w:spacing w:after="120" w:line="276"/>
      </w:pPr>
      <w:r>
        <w:rPr>
          <w:rFonts w:ascii="Calibri" w:cs="Calibri" w:eastAsia="Calibri" w:hAnsi="Calibri"/>
          <w:i/>
          <w:iCs/>
          <w:color w:val="58595B"/>
          <w:sz w:val="18"/>
          <w:szCs w:val="18"/>
        </w:rPr>
        <w:t xml:space="preserve">Ce document décrit l'état de la plateforme à la date de sa rédaction. Les chiffres cités en exemple proviennent des arrêtés réellement chargés et servent d'illustration : ils ne constituent pas une situation officielle.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PopPilot — Plateforme de pilotage MICROPOP</dc:title>
  <dc:creator>MICROPOP — Contrôle de gestion</dc:creator>
  <dc:description>Présentation générale : objet, périmètre, architecture, garanties et perspectives.</dc:description>
  <cp:lastModifiedBy>Un-named</cp:lastModifiedBy>
  <cp:revision>1</cp:revision>
  <dcterms:created xsi:type="dcterms:W3CDTF">2026-09-21T19:08:55.709Z</dcterms:created>
  <dcterms:modified xsi:type="dcterms:W3CDTF">2026-09-21T19:08:55.722Z</dcterms:modified>
</cp:coreProperties>
</file>

<file path=docProps/custom.xml><?xml version="1.0" encoding="utf-8"?>
<Properties xmlns="http://schemas.openxmlformats.org/officeDocument/2006/custom-properties" xmlns:vt="http://schemas.openxmlformats.org/officeDocument/2006/docPropsVTypes"/>
</file>