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BAF3" w14:textId="77777777" w:rsidR="00CA2CDC" w:rsidRDefault="00CA2CD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26A00E8" w14:textId="77777777" w:rsidR="00CA2CDC" w:rsidRPr="006A675F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17B6B3C9">
          <v:rect id="_x0000_i1025" style="width:0;height:1.5pt" o:hralign="center" o:hrstd="t" o:hr="t" fillcolor="#a0a0a0" stroked="f"/>
        </w:pict>
      </w: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1. Plan de Instalación</w:t>
      </w:r>
    </w:p>
    <w:p w14:paraId="37B164E0" w14:textId="77777777" w:rsidR="00CA2CDC" w:rsidRPr="006A675F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1.1 Detalles objetos módulos de brecha contabilidad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6A675F" w:rsidRPr="006541F9" w14:paraId="2C03A8C0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2B77BFBE" w14:textId="77777777" w:rsidR="006A675F" w:rsidRPr="006A675F" w:rsidRDefault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I. Informaciones Generales de la Solicitud (Requerido)</w:t>
            </w:r>
          </w:p>
        </w:tc>
      </w:tr>
      <w:tr w:rsidR="006A675F" w14:paraId="40C31D87" w14:textId="77777777" w:rsidTr="006A675F">
        <w:tc>
          <w:tcPr>
            <w:tcW w:w="9360" w:type="dxa"/>
          </w:tcPr>
          <w:p w14:paraId="236DA797" w14:textId="77777777" w:rsidR="006A675F" w:rsidRDefault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No. Solicitud 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xxxxx</w:t>
            </w:r>
          </w:p>
        </w:tc>
      </w:tr>
      <w:tr w:rsidR="006A675F" w:rsidRPr="006A675F" w14:paraId="1F17A9A5" w14:textId="1DE093CF" w:rsidTr="006A675F">
        <w:tc>
          <w:tcPr>
            <w:tcW w:w="9360" w:type="dxa"/>
          </w:tcPr>
          <w:p w14:paraId="6014F569" w14:textId="63EBFC27" w:rsidR="006A675F" w:rsidRDefault="006A675F" w:rsidP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Descripción:</w:t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 Consulta</w:t>
            </w:r>
          </w:p>
        </w:tc>
      </w:tr>
    </w:tbl>
    <w:p w14:paraId="18509D6F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Plan Instalación Parámetros Generales</w:t>
      </w:r>
    </w:p>
    <w:p w14:paraId="67B4798C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Transferir los siguientes Objetos de acuerdo con lo especificado:</w:t>
      </w:r>
    </w:p>
    <w:tbl>
      <w:tblPr>
        <w:tblStyle w:val="GridTable4-Accent3"/>
        <w:tblW w:w="10278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</w:tblGrid>
      <w:tr w:rsidR="00CA2CDC" w14:paraId="70A5ACF8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4"/>
        </w:trPr>
        <w:tc>
          <w:tcPr>
            <w:tcW w:w="1713" w:type="dxa"/>
          </w:tcPr>
          <w:p w14:paraId="11A7E1FA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Nombre del Objeto</w:t>
            </w:r>
          </w:p>
        </w:tc>
        <w:tc>
          <w:tcPr>
            <w:tcW w:w="1713" w:type="dxa"/>
          </w:tcPr>
          <w:p w14:paraId="7094FFCC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Descripción del Objeto</w:t>
            </w:r>
          </w:p>
        </w:tc>
        <w:tc>
          <w:tcPr>
            <w:tcW w:w="1713" w:type="dxa"/>
          </w:tcPr>
          <w:p w14:paraId="1F2615F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 de Objeto</w:t>
            </w:r>
          </w:p>
        </w:tc>
        <w:tc>
          <w:tcPr>
            <w:tcW w:w="1713" w:type="dxa"/>
          </w:tcPr>
          <w:p w14:paraId="132685DF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Biblioteca Origen</w:t>
            </w:r>
          </w:p>
        </w:tc>
        <w:tc>
          <w:tcPr>
            <w:tcW w:w="1713" w:type="dxa"/>
          </w:tcPr>
          <w:p w14:paraId="47EA7242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Biblioteca Destino</w:t>
            </w:r>
          </w:p>
        </w:tc>
        <w:tc>
          <w:tcPr>
            <w:tcW w:w="1713" w:type="dxa"/>
          </w:tcPr>
          <w:p w14:paraId="082E3B4D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Atributo</w:t>
            </w:r>
          </w:p>
        </w:tc>
      </w:tr>
      <w:tr w:rsidR="00CA2CDC" w14:paraId="32188CF3" w14:textId="77777777" w:rsidTr="006A675F">
        <w:trPr>
          <w:trHeight w:val="1775"/>
        </w:trPr>
        <w:tc>
          <w:tcPr>
            <w:tcW w:w="1713" w:type="dxa"/>
          </w:tcPr>
          <w:p w14:paraId="1EE9A88C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T24FNFC001</w:t>
            </w:r>
          </w:p>
        </w:tc>
        <w:tc>
          <w:tcPr>
            <w:tcW w:w="1713" w:type="dxa"/>
          </w:tcPr>
          <w:p w14:paraId="04F3BF7B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Programa Servicio Consulta de Producto por Cliente</w:t>
            </w:r>
          </w:p>
        </w:tc>
        <w:tc>
          <w:tcPr>
            <w:tcW w:w="1713" w:type="dxa"/>
          </w:tcPr>
          <w:p w14:paraId="16058324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1713" w:type="dxa"/>
          </w:tcPr>
          <w:p w14:paraId="6C84AB0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38A33405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680F6813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</w:tr>
      <w:tr w:rsidR="00CA2CDC" w14:paraId="53D297BC" w14:textId="77777777" w:rsidTr="006A675F">
        <w:trPr>
          <w:trHeight w:val="306"/>
        </w:trPr>
        <w:tc>
          <w:tcPr>
            <w:tcW w:w="1713" w:type="dxa"/>
          </w:tcPr>
          <w:p w14:paraId="653C66DD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59430AD8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7C03E325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3C2E0B1C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4D6D170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D182F11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CA2CDC" w14:paraId="05BC095D" w14:textId="77777777" w:rsidTr="006A675F">
        <w:trPr>
          <w:trHeight w:val="306"/>
        </w:trPr>
        <w:tc>
          <w:tcPr>
            <w:tcW w:w="1713" w:type="dxa"/>
          </w:tcPr>
          <w:p w14:paraId="5113EB2D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431FC1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C9F95B5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13EF474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4734ECB8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546A1BDE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CA2CDC" w14:paraId="26EB830E" w14:textId="77777777" w:rsidTr="006A675F">
        <w:trPr>
          <w:trHeight w:val="306"/>
        </w:trPr>
        <w:tc>
          <w:tcPr>
            <w:tcW w:w="1713" w:type="dxa"/>
          </w:tcPr>
          <w:p w14:paraId="19BFF5FA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744C2C58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294E127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33277204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B4DD6ED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443B02E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CA2CDC" w14:paraId="340605E3" w14:textId="77777777" w:rsidTr="006A675F">
        <w:trPr>
          <w:trHeight w:val="306"/>
        </w:trPr>
        <w:tc>
          <w:tcPr>
            <w:tcW w:w="1713" w:type="dxa"/>
          </w:tcPr>
          <w:p w14:paraId="340F84D5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5267A39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CFAB063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84DC77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AE90F1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29F4EBC7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68A7DC6E" w14:textId="4C0F9C13" w:rsidR="004F4CE5" w:rsidRPr="00574148" w:rsidRDefault="004F4CE5" w:rsidP="004F4CE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659612AE" w14:textId="77777777" w:rsidR="006541F9" w:rsidRPr="006541F9" w:rsidRDefault="006541F9" w:rsidP="006541F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541F9">
        <w:rPr>
          <w:rFonts w:ascii="Google Sans Text" w:eastAsia="Google Sans Text" w:hAnsi="Google Sans Text" w:cs="Google Sans Text"/>
          <w:b/>
          <w:color w:val="1B1C1D"/>
          <w:lang w:val="es-MX"/>
        </w:rPr>
        <w:t>CALL T24PRPMSRV</w:t>
      </w:r>
    </w:p>
    <w:p w14:paraId="49579133" w14:textId="77777777" w:rsidR="006541F9" w:rsidRPr="006541F9" w:rsidRDefault="006541F9" w:rsidP="006541F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541F9">
        <w:rPr>
          <w:rFonts w:ascii="Google Sans Text" w:eastAsia="Google Sans Text" w:hAnsi="Google Sans Text" w:cs="Google Sans Text"/>
          <w:b/>
          <w:color w:val="1B1C1D"/>
          <w:lang w:val="es-MX"/>
        </w:rPr>
        <w:t>Bajar el servicio :</w:t>
      </w:r>
    </w:p>
    <w:p w14:paraId="3F6A3243" w14:textId="36BD3DE6" w:rsidR="006541F9" w:rsidRPr="006541F9" w:rsidRDefault="006541F9" w:rsidP="006541F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541F9">
        <w:rPr>
          <w:rFonts w:ascii="Google Sans Text" w:eastAsia="Google Sans Text" w:hAnsi="Google Sans Text" w:cs="Google Sans Text"/>
          <w:b/>
          <w:color w:val="1B1C1D"/>
        </w:rPr>
        <w:lastRenderedPageBreak/>
        <w:drawing>
          <wp:inline distT="0" distB="0" distL="0" distR="0" wp14:anchorId="16BCA726" wp14:editId="0D52A629">
            <wp:extent cx="5943600" cy="3864610"/>
            <wp:effectExtent l="0" t="0" r="0" b="2540"/>
            <wp:docPr id="5509564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FAEC" w14:textId="65C7DB7B" w:rsidR="006541F9" w:rsidRPr="006541F9" w:rsidRDefault="006541F9" w:rsidP="006541F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541F9">
        <w:rPr>
          <w:rFonts w:ascii="Google Sans Text" w:eastAsia="Google Sans Text" w:hAnsi="Google Sans Text" w:cs="Google Sans Text"/>
          <w:b/>
          <w:color w:val="1B1C1D"/>
          <w:lang w:val="es-MX"/>
        </w:rPr>
        <w:t>Subir el servicio:</w:t>
      </w:r>
      <w:r w:rsidRPr="006541F9">
        <w:rPr>
          <w:rFonts w:ascii="Google Sans Text" w:eastAsia="Google Sans Text" w:hAnsi="Google Sans Text" w:cs="Google Sans Text"/>
          <w:b/>
          <w:color w:val="1B1C1D"/>
          <w:lang w:val="es-MX"/>
        </w:rPr>
        <w:br/>
      </w:r>
      <w:r w:rsidRPr="006541F9">
        <w:rPr>
          <w:rFonts w:ascii="Google Sans Text" w:eastAsia="Google Sans Text" w:hAnsi="Google Sans Text" w:cs="Google Sans Text"/>
          <w:b/>
          <w:color w:val="1B1C1D"/>
        </w:rPr>
        <w:lastRenderedPageBreak/>
        <w:drawing>
          <wp:inline distT="0" distB="0" distL="0" distR="0" wp14:anchorId="5E650C4F" wp14:editId="5751521C">
            <wp:extent cx="5943600" cy="3942080"/>
            <wp:effectExtent l="0" t="0" r="0" b="1270"/>
            <wp:docPr id="794515485" name="Picture 3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0D9E" w14:textId="77777777" w:rsidR="006541F9" w:rsidRPr="006541F9" w:rsidRDefault="006541F9" w:rsidP="006541F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5B085717" w14:textId="77777777" w:rsidR="006541F9" w:rsidRPr="006541F9" w:rsidRDefault="006541F9" w:rsidP="006541F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46E77E67" w14:textId="77777777" w:rsidR="004F4CE5" w:rsidRDefault="004F4CE5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661CB213" w14:textId="299B53B8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A. Realizar Backup en de los objetos existentes a ser instalados.</w:t>
      </w:r>
    </w:p>
    <w:p w14:paraId="75E87038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B. Realizar además del Backup anterior los siguientes CPYF:</w:t>
      </w:r>
    </w:p>
    <w:p w14:paraId="71261511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(Sin especificar)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CA2CDC" w:rsidRPr="006541F9" w14:paraId="5E4CAFD8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5D032FC6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I. Detalle de Objetos para pase de Producción Centro de Cómputos</w:t>
            </w:r>
          </w:p>
        </w:tc>
      </w:tr>
    </w:tbl>
    <w:p w14:paraId="3F02E768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Nota:</w:t>
      </w: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 xml:space="preserve"> Asegurarse de tener el miembro QCPYLESRC,PROTOTYPE1 en la librería de compilación.</w:t>
      </w:r>
    </w:p>
    <w:p w14:paraId="5AD7EE4F" w14:textId="6A0B1E49" w:rsidR="00B100F8" w:rsidRPr="006A675F" w:rsidRDefault="006541F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rPr>
          <w:rFonts w:ascii="Google Sans Text" w:eastAsia="Google Sans Text" w:hAnsi="Google Sans Text" w:cs="Google Sans Text"/>
          <w:color w:val="1B1C1D"/>
          <w:lang w:val="es-MX"/>
        </w:rPr>
        <w:object w:dxaOrig="1516" w:dyaOrig="993" w14:anchorId="4795C0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76.1pt;height:49.6pt" o:ole="">
            <v:imagedata r:id="rId7" o:title=""/>
          </v:shape>
          <o:OLEObject Type="Embed" ProgID="Excel.Sheet.12" ShapeID="_x0000_i1043" DrawAspect="Icon" ObjectID="_1814283257" r:id="rId8"/>
        </w:object>
      </w:r>
    </w:p>
    <w:p w14:paraId="6D7456DF" w14:textId="77777777" w:rsidR="00CA2CDC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71BD779">
          <v:rect id="_x0000_i1027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color w:val="1B1C1D"/>
        </w:rPr>
        <w:t>2. PROCEDIMIENTO VUELTA ATRÁS</w:t>
      </w:r>
    </w:p>
    <w:p w14:paraId="23359DE7" w14:textId="77777777" w:rsidR="00CA2C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2.1 Autorización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CA2CDC" w14:paraId="77B98CE1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5AF7682E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Condición para ejecutar la vuelta atrás</w:t>
            </w:r>
          </w:p>
        </w:tc>
        <w:tc>
          <w:tcPr>
            <w:tcW w:w="3120" w:type="dxa"/>
          </w:tcPr>
          <w:p w14:paraId="60648E91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Persona autorizada para aprobar vuelta atrás</w:t>
            </w:r>
          </w:p>
        </w:tc>
        <w:tc>
          <w:tcPr>
            <w:tcW w:w="3120" w:type="dxa"/>
          </w:tcPr>
          <w:p w14:paraId="0CBE330F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Cargo</w:t>
            </w:r>
          </w:p>
        </w:tc>
      </w:tr>
      <w:tr w:rsidR="00CA2CDC" w:rsidRPr="006541F9" w14:paraId="662A766E" w14:textId="77777777" w:rsidTr="006A675F">
        <w:tc>
          <w:tcPr>
            <w:tcW w:w="3120" w:type="dxa"/>
          </w:tcPr>
          <w:p w14:paraId="245E8A0D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Fallos en la ejecución del servicio o errores de integración</w:t>
            </w:r>
          </w:p>
        </w:tc>
        <w:tc>
          <w:tcPr>
            <w:tcW w:w="3120" w:type="dxa"/>
          </w:tcPr>
          <w:p w14:paraId="59E2E75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Joel S. Martinez</w:t>
            </w:r>
          </w:p>
        </w:tc>
        <w:tc>
          <w:tcPr>
            <w:tcW w:w="3120" w:type="dxa"/>
          </w:tcPr>
          <w:p w14:paraId="70D2E866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Analista de Desarrollo de Aplicaciones</w:t>
            </w:r>
          </w:p>
        </w:tc>
      </w:tr>
    </w:tbl>
    <w:p w14:paraId="060E5107" w14:textId="77777777" w:rsidR="00CA2CDC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2.2 Pasos a ejecutar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CA2CDC" w:rsidRPr="006541F9" w14:paraId="3971E331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6E471EB4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II. Orden en que debe realizarse la Instalación</w:t>
            </w:r>
          </w:p>
        </w:tc>
      </w:tr>
      <w:tr w:rsidR="00CA2CDC" w:rsidRPr="006541F9" w14:paraId="79EF0DD6" w14:textId="77777777" w:rsidTr="006A675F">
        <w:tc>
          <w:tcPr>
            <w:tcW w:w="9360" w:type="dxa"/>
          </w:tcPr>
          <w:p w14:paraId="612595C2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b/>
                <w:color w:val="1B1C1D"/>
                <w:lang w:val="es-MX"/>
              </w:rPr>
              <w:t>Sugerido para el Pase :</w:t>
            </w: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Cuando se autorice</w:t>
            </w:r>
          </w:p>
        </w:tc>
      </w:tr>
    </w:tbl>
    <w:p w14:paraId="62F2CD31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a. Restaurar y reinstalar en ambiente los objetos existentes y salvados previo a esta instalación (ver relación de objetos en la tabla superior).</w:t>
      </w:r>
    </w:p>
    <w:sectPr w:rsidR="00CA2CDC" w:rsidRPr="006A675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5D8B362-38C4-42D4-B7C0-32F6A28AA81E}"/>
    <w:embedItalic r:id="rId2" w:fontKey="{DA0F5252-8602-4A47-AD57-D33B1C7B7158}"/>
  </w:font>
  <w:font w:name="Google Sans Text">
    <w:altName w:val="Calibri"/>
    <w:charset w:val="00"/>
    <w:family w:val="auto"/>
    <w:pitch w:val="default"/>
    <w:embedRegular r:id="rId3" w:fontKey="{7341BF73-B2B3-4228-B064-95C866A4627F}"/>
    <w:embedBold r:id="rId4" w:fontKey="{67AF3906-BB54-4BC7-AA40-0EFC5CC5A75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DB623B9A-6CAC-4DA4-BB7E-735265E1BBB8}"/>
    <w:embedBold r:id="rId6" w:fontKey="{6EE86E16-878F-4462-8EF7-B07A24A6A4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0C864D4-CE2A-442B-9F9C-507CA5E0E1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54C48E4-E2E3-47B8-9F6F-01779A7D9A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F16A6"/>
    <w:multiLevelType w:val="multilevel"/>
    <w:tmpl w:val="411C19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595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CDC"/>
    <w:rsid w:val="004F4CE5"/>
    <w:rsid w:val="006541F9"/>
    <w:rsid w:val="006A675F"/>
    <w:rsid w:val="00B100F8"/>
    <w:rsid w:val="00CA2CDC"/>
    <w:rsid w:val="00E066A4"/>
    <w:rsid w:val="00EA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3D9C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6A675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4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5</cp:revision>
  <dcterms:created xsi:type="dcterms:W3CDTF">2025-06-25T21:47:00Z</dcterms:created>
  <dcterms:modified xsi:type="dcterms:W3CDTF">2025-07-17T22:48:00Z</dcterms:modified>
</cp:coreProperties>
</file>