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CCF" w:rsidRDefault="00581CCF" w:rsidP="00581CCF">
      <w:pPr>
        <w:pStyle w:val="Heading1"/>
        <w:spacing w:before="0"/>
        <w:rPr>
          <w:lang w:val="en-US"/>
        </w:rPr>
      </w:pPr>
    </w:p>
    <w:p w:rsidR="00A73FEA" w:rsidRDefault="00A73FEA" w:rsidP="00581CCF">
      <w:pPr>
        <w:pStyle w:val="Heading1"/>
        <w:spacing w:before="0"/>
        <w:jc w:val="center"/>
        <w:rPr>
          <w:lang w:val="en-US"/>
        </w:rPr>
      </w:pPr>
    </w:p>
    <w:p w:rsidR="00A73FEA" w:rsidRDefault="00A73FEA" w:rsidP="00581CCF">
      <w:pPr>
        <w:pStyle w:val="Heading1"/>
        <w:spacing w:before="0"/>
        <w:jc w:val="center"/>
        <w:rPr>
          <w:lang w:val="en-US"/>
        </w:rPr>
      </w:pPr>
    </w:p>
    <w:p w:rsidR="00FF4938" w:rsidRPr="00A73FEA" w:rsidRDefault="00581CCF" w:rsidP="00581CCF">
      <w:pPr>
        <w:pStyle w:val="Heading1"/>
        <w:spacing w:before="0"/>
        <w:jc w:val="center"/>
        <w:rPr>
          <w:color w:val="0070C0"/>
          <w:lang w:val="en-US"/>
        </w:rPr>
      </w:pPr>
      <w:r w:rsidRPr="00A73FEA">
        <w:rPr>
          <w:color w:val="0070C0"/>
          <w:lang w:val="en-US"/>
        </w:rPr>
        <w:t>S</w:t>
      </w:r>
      <w:r w:rsidR="00061FDE" w:rsidRPr="00A73FEA">
        <w:rPr>
          <w:color w:val="0070C0"/>
          <w:lang w:val="en-US"/>
        </w:rPr>
        <w:t>tandard set of w</w:t>
      </w:r>
      <w:r w:rsidR="000E0234" w:rsidRPr="00A73FEA">
        <w:rPr>
          <w:color w:val="0070C0"/>
          <w:lang w:val="en-US"/>
        </w:rPr>
        <w:t>ell</w:t>
      </w:r>
      <w:r w:rsidR="00061FDE" w:rsidRPr="00A73FEA">
        <w:rPr>
          <w:color w:val="0070C0"/>
          <w:lang w:val="en-US"/>
        </w:rPr>
        <w:t xml:space="preserve"> </w:t>
      </w:r>
      <w:r w:rsidR="000E0234" w:rsidRPr="00A73FEA">
        <w:rPr>
          <w:color w:val="0070C0"/>
          <w:lang w:val="en-US"/>
        </w:rPr>
        <w:t xml:space="preserve">paths for </w:t>
      </w:r>
      <w:r w:rsidR="00061FDE" w:rsidRPr="00A73FEA">
        <w:rPr>
          <w:color w:val="0070C0"/>
          <w:lang w:val="en-US"/>
        </w:rPr>
        <w:t xml:space="preserve">use in </w:t>
      </w:r>
      <w:r w:rsidR="000E0234" w:rsidRPr="00A73FEA">
        <w:rPr>
          <w:color w:val="0070C0"/>
          <w:lang w:val="en-US"/>
        </w:rPr>
        <w:t xml:space="preserve">evaluating clearance </w:t>
      </w:r>
      <w:r w:rsidR="00061FDE" w:rsidRPr="00A73FEA">
        <w:rPr>
          <w:color w:val="0070C0"/>
          <w:lang w:val="en-US"/>
        </w:rPr>
        <w:t>calculations</w:t>
      </w:r>
    </w:p>
    <w:p w:rsidR="00581CCF" w:rsidRPr="00A73FEA" w:rsidRDefault="00581CCF" w:rsidP="00581CCF">
      <w:pPr>
        <w:rPr>
          <w:color w:val="0070C0"/>
          <w:lang w:val="en-US"/>
        </w:rPr>
      </w:pPr>
    </w:p>
    <w:p w:rsidR="00A73FEA" w:rsidRPr="00A73FEA" w:rsidRDefault="00A82B85" w:rsidP="00A73FEA">
      <w:pPr>
        <w:jc w:val="center"/>
        <w:rPr>
          <w:rFonts w:asciiTheme="majorHAnsi" w:hAnsiTheme="majorHAnsi"/>
          <w:color w:val="0070C0"/>
          <w:sz w:val="28"/>
          <w:szCs w:val="28"/>
          <w:lang w:val="en-US"/>
        </w:rPr>
      </w:pPr>
      <w:r>
        <w:rPr>
          <w:rFonts w:asciiTheme="majorHAnsi" w:hAnsiTheme="majorHAnsi"/>
          <w:color w:val="0070C0"/>
          <w:sz w:val="28"/>
          <w:szCs w:val="28"/>
          <w:lang w:val="en-US"/>
        </w:rPr>
        <w:t>May</w:t>
      </w:r>
      <w:r w:rsidR="005A5536">
        <w:rPr>
          <w:rFonts w:asciiTheme="majorHAnsi" w:hAnsiTheme="majorHAnsi"/>
          <w:color w:val="0070C0"/>
          <w:sz w:val="28"/>
          <w:szCs w:val="28"/>
          <w:lang w:val="en-US"/>
        </w:rPr>
        <w:t xml:space="preserve"> 2017</w:t>
      </w:r>
    </w:p>
    <w:p w:rsidR="006E2F11" w:rsidRDefault="006E2F11" w:rsidP="00581CCF">
      <w:pPr>
        <w:pStyle w:val="Heading2"/>
        <w:rPr>
          <w:color w:val="0070C0"/>
          <w:sz w:val="24"/>
          <w:szCs w:val="24"/>
          <w:lang w:val="en-US"/>
        </w:rPr>
      </w:pPr>
    </w:p>
    <w:p w:rsidR="00A73FEA" w:rsidRPr="00A73FEA" w:rsidRDefault="00A73FEA" w:rsidP="00A73FEA">
      <w:pPr>
        <w:rPr>
          <w:lang w:val="en-US"/>
        </w:rPr>
      </w:pPr>
    </w:p>
    <w:p w:rsidR="006E2F11" w:rsidRDefault="006E2F11" w:rsidP="00581CCF">
      <w:pPr>
        <w:pStyle w:val="Heading2"/>
        <w:rPr>
          <w:color w:val="0070C0"/>
          <w:sz w:val="24"/>
          <w:szCs w:val="24"/>
          <w:lang w:val="en-US"/>
        </w:rPr>
      </w:pPr>
    </w:p>
    <w:p w:rsidR="00581CCF" w:rsidRPr="00AE17A7" w:rsidRDefault="00581CCF" w:rsidP="00581CCF">
      <w:pPr>
        <w:pStyle w:val="Heading2"/>
        <w:rPr>
          <w:color w:val="0070C0"/>
          <w:sz w:val="24"/>
          <w:szCs w:val="24"/>
          <w:lang w:val="en-US"/>
        </w:rPr>
      </w:pPr>
      <w:r>
        <w:rPr>
          <w:color w:val="0070C0"/>
          <w:sz w:val="24"/>
          <w:szCs w:val="24"/>
          <w:lang w:val="en-US"/>
        </w:rPr>
        <w:t>Revision History</w:t>
      </w:r>
    </w:p>
    <w:tbl>
      <w:tblPr>
        <w:tblStyle w:val="TableGrid"/>
        <w:tblW w:w="0" w:type="auto"/>
        <w:tblLook w:val="04A0" w:firstRow="1" w:lastRow="0" w:firstColumn="1" w:lastColumn="0" w:noHBand="0" w:noVBand="1"/>
      </w:tblPr>
      <w:tblGrid>
        <w:gridCol w:w="1559"/>
        <w:gridCol w:w="6633"/>
      </w:tblGrid>
      <w:tr w:rsidR="00581CCF" w:rsidTr="00581CCF">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1CCF" w:rsidRDefault="00581CCF">
            <w:pPr>
              <w:rPr>
                <w:b/>
                <w:sz w:val="18"/>
                <w:lang w:val="en-US"/>
              </w:rPr>
            </w:pPr>
            <w:r>
              <w:rPr>
                <w:b/>
                <w:sz w:val="18"/>
                <w:lang w:val="en-US"/>
              </w:rPr>
              <w:t>Date</w:t>
            </w:r>
          </w:p>
        </w:tc>
        <w:tc>
          <w:tcPr>
            <w:tcW w:w="6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1CCF" w:rsidRDefault="00581CCF">
            <w:pPr>
              <w:rPr>
                <w:b/>
                <w:sz w:val="18"/>
                <w:lang w:val="en-US"/>
              </w:rPr>
            </w:pPr>
            <w:r>
              <w:rPr>
                <w:b/>
                <w:sz w:val="18"/>
                <w:lang w:val="en-US"/>
              </w:rPr>
              <w:t>Comment</w:t>
            </w:r>
          </w:p>
        </w:tc>
      </w:tr>
      <w:tr w:rsidR="00581CCF" w:rsidTr="00FE16A1">
        <w:tc>
          <w:tcPr>
            <w:tcW w:w="1559" w:type="dxa"/>
            <w:tcBorders>
              <w:top w:val="single" w:sz="4" w:space="0" w:color="auto"/>
              <w:left w:val="single" w:sz="4" w:space="0" w:color="auto"/>
              <w:bottom w:val="single" w:sz="4" w:space="0" w:color="auto"/>
              <w:right w:val="single" w:sz="4" w:space="0" w:color="auto"/>
            </w:tcBorders>
            <w:hideMark/>
          </w:tcPr>
          <w:p w:rsidR="00581CCF" w:rsidRDefault="007A6F1D" w:rsidP="009F37A6">
            <w:pPr>
              <w:rPr>
                <w:sz w:val="18"/>
                <w:lang w:val="en-US"/>
              </w:rPr>
            </w:pPr>
            <w:r w:rsidRPr="00A42B4D">
              <w:rPr>
                <w:sz w:val="18"/>
                <w:lang w:val="en-US"/>
              </w:rPr>
              <w:t>10</w:t>
            </w:r>
            <w:r w:rsidR="009F37A6" w:rsidRPr="00A42B4D">
              <w:rPr>
                <w:sz w:val="18"/>
                <w:lang w:val="en-US"/>
              </w:rPr>
              <w:t xml:space="preserve"> Oct </w:t>
            </w:r>
            <w:r w:rsidR="00581CCF">
              <w:rPr>
                <w:sz w:val="18"/>
                <w:lang w:val="en-US"/>
              </w:rPr>
              <w:t>2012</w:t>
            </w:r>
          </w:p>
        </w:tc>
        <w:tc>
          <w:tcPr>
            <w:tcW w:w="6633" w:type="dxa"/>
            <w:tcBorders>
              <w:top w:val="single" w:sz="4" w:space="0" w:color="auto"/>
              <w:left w:val="single" w:sz="4" w:space="0" w:color="auto"/>
              <w:bottom w:val="single" w:sz="4" w:space="0" w:color="auto"/>
              <w:right w:val="single" w:sz="4" w:space="0" w:color="auto"/>
            </w:tcBorders>
          </w:tcPr>
          <w:p w:rsidR="00581CCF" w:rsidRDefault="00FE16A1" w:rsidP="00581CCF">
            <w:pPr>
              <w:rPr>
                <w:sz w:val="18"/>
                <w:lang w:val="en-US"/>
              </w:rPr>
            </w:pPr>
            <w:r>
              <w:rPr>
                <w:sz w:val="18"/>
                <w:lang w:val="en-US"/>
              </w:rPr>
              <w:t>Initial release</w:t>
            </w:r>
          </w:p>
        </w:tc>
      </w:tr>
      <w:tr w:rsidR="00581CCF" w:rsidTr="00581CCF">
        <w:tc>
          <w:tcPr>
            <w:tcW w:w="1559" w:type="dxa"/>
            <w:tcBorders>
              <w:top w:val="single" w:sz="4" w:space="0" w:color="auto"/>
              <w:left w:val="single" w:sz="4" w:space="0" w:color="auto"/>
              <w:bottom w:val="single" w:sz="4" w:space="0" w:color="auto"/>
              <w:right w:val="single" w:sz="4" w:space="0" w:color="auto"/>
            </w:tcBorders>
          </w:tcPr>
          <w:p w:rsidR="00581CCF" w:rsidRDefault="0003403A">
            <w:pPr>
              <w:rPr>
                <w:sz w:val="18"/>
                <w:lang w:val="en-US"/>
              </w:rPr>
            </w:pPr>
            <w:r>
              <w:rPr>
                <w:sz w:val="18"/>
                <w:lang w:val="en-US"/>
              </w:rPr>
              <w:t>10 Oct 2013</w:t>
            </w:r>
          </w:p>
        </w:tc>
        <w:tc>
          <w:tcPr>
            <w:tcW w:w="6633" w:type="dxa"/>
            <w:tcBorders>
              <w:top w:val="single" w:sz="4" w:space="0" w:color="auto"/>
              <w:left w:val="single" w:sz="4" w:space="0" w:color="auto"/>
              <w:bottom w:val="single" w:sz="4" w:space="0" w:color="auto"/>
              <w:right w:val="single" w:sz="4" w:space="0" w:color="auto"/>
            </w:tcBorders>
          </w:tcPr>
          <w:p w:rsidR="00581CCF" w:rsidRDefault="0003403A">
            <w:pPr>
              <w:rPr>
                <w:sz w:val="18"/>
                <w:lang w:val="en-US"/>
              </w:rPr>
            </w:pPr>
            <w:r>
              <w:rPr>
                <w:sz w:val="18"/>
                <w:lang w:val="en-US"/>
              </w:rPr>
              <w:t>Add offset 11</w:t>
            </w:r>
          </w:p>
        </w:tc>
      </w:tr>
      <w:tr w:rsidR="00581CCF" w:rsidTr="00581CCF">
        <w:tc>
          <w:tcPr>
            <w:tcW w:w="1559" w:type="dxa"/>
            <w:tcBorders>
              <w:top w:val="single" w:sz="4" w:space="0" w:color="auto"/>
              <w:left w:val="single" w:sz="4" w:space="0" w:color="auto"/>
              <w:bottom w:val="single" w:sz="4" w:space="0" w:color="auto"/>
              <w:right w:val="single" w:sz="4" w:space="0" w:color="auto"/>
            </w:tcBorders>
          </w:tcPr>
          <w:p w:rsidR="00581CCF" w:rsidRDefault="00DA6905">
            <w:pPr>
              <w:rPr>
                <w:sz w:val="18"/>
                <w:lang w:val="en-US"/>
              </w:rPr>
            </w:pPr>
            <w:r>
              <w:rPr>
                <w:sz w:val="18"/>
                <w:lang w:val="en-US"/>
              </w:rPr>
              <w:t>9</w:t>
            </w:r>
            <w:r w:rsidR="00A21DDB">
              <w:rPr>
                <w:sz w:val="18"/>
                <w:lang w:val="en-US"/>
              </w:rPr>
              <w:t xml:space="preserve"> Feb 2017</w:t>
            </w:r>
          </w:p>
        </w:tc>
        <w:tc>
          <w:tcPr>
            <w:tcW w:w="6633" w:type="dxa"/>
            <w:tcBorders>
              <w:top w:val="single" w:sz="4" w:space="0" w:color="auto"/>
              <w:left w:val="single" w:sz="4" w:space="0" w:color="auto"/>
              <w:bottom w:val="single" w:sz="4" w:space="0" w:color="auto"/>
              <w:right w:val="single" w:sz="4" w:space="0" w:color="auto"/>
            </w:tcBorders>
          </w:tcPr>
          <w:p w:rsidR="00581CCF" w:rsidRDefault="00A21DDB">
            <w:pPr>
              <w:rPr>
                <w:sz w:val="18"/>
                <w:lang w:val="en-US"/>
              </w:rPr>
            </w:pPr>
            <w:r>
              <w:rPr>
                <w:sz w:val="18"/>
                <w:lang w:val="en-US"/>
              </w:rPr>
              <w:t>Update tool model to ISCWSA MWD r4</w:t>
            </w:r>
            <w:r w:rsidR="00A82B85">
              <w:rPr>
                <w:sz w:val="18"/>
                <w:lang w:val="en-US"/>
              </w:rPr>
              <w:t>, and ISCWSA SF</w:t>
            </w:r>
          </w:p>
        </w:tc>
      </w:tr>
      <w:tr w:rsidR="00581CCF" w:rsidTr="00581CCF">
        <w:tc>
          <w:tcPr>
            <w:tcW w:w="1559" w:type="dxa"/>
            <w:tcBorders>
              <w:top w:val="single" w:sz="4" w:space="0" w:color="auto"/>
              <w:left w:val="single" w:sz="4" w:space="0" w:color="auto"/>
              <w:bottom w:val="single" w:sz="4" w:space="0" w:color="auto"/>
              <w:right w:val="single" w:sz="4" w:space="0" w:color="auto"/>
            </w:tcBorders>
          </w:tcPr>
          <w:p w:rsidR="00581CCF" w:rsidRDefault="00581CCF">
            <w:pPr>
              <w:rPr>
                <w:sz w:val="18"/>
                <w:lang w:val="en-US"/>
              </w:rPr>
            </w:pPr>
          </w:p>
        </w:tc>
        <w:tc>
          <w:tcPr>
            <w:tcW w:w="6633" w:type="dxa"/>
            <w:tcBorders>
              <w:top w:val="single" w:sz="4" w:space="0" w:color="auto"/>
              <w:left w:val="single" w:sz="4" w:space="0" w:color="auto"/>
              <w:bottom w:val="single" w:sz="4" w:space="0" w:color="auto"/>
              <w:right w:val="single" w:sz="4" w:space="0" w:color="auto"/>
            </w:tcBorders>
          </w:tcPr>
          <w:p w:rsidR="00581CCF" w:rsidRDefault="00581CCF">
            <w:pPr>
              <w:rPr>
                <w:sz w:val="18"/>
                <w:lang w:val="en-US"/>
              </w:rPr>
            </w:pPr>
          </w:p>
        </w:tc>
      </w:tr>
      <w:tr w:rsidR="00581CCF" w:rsidTr="00581CCF">
        <w:tc>
          <w:tcPr>
            <w:tcW w:w="1559" w:type="dxa"/>
            <w:tcBorders>
              <w:top w:val="single" w:sz="4" w:space="0" w:color="auto"/>
              <w:left w:val="single" w:sz="4" w:space="0" w:color="auto"/>
              <w:bottom w:val="single" w:sz="4" w:space="0" w:color="auto"/>
              <w:right w:val="single" w:sz="4" w:space="0" w:color="auto"/>
            </w:tcBorders>
          </w:tcPr>
          <w:p w:rsidR="00581CCF" w:rsidRDefault="00581CCF">
            <w:pPr>
              <w:rPr>
                <w:sz w:val="18"/>
                <w:lang w:val="en-US"/>
              </w:rPr>
            </w:pPr>
          </w:p>
        </w:tc>
        <w:tc>
          <w:tcPr>
            <w:tcW w:w="6633" w:type="dxa"/>
            <w:tcBorders>
              <w:top w:val="single" w:sz="4" w:space="0" w:color="auto"/>
              <w:left w:val="single" w:sz="4" w:space="0" w:color="auto"/>
              <w:bottom w:val="single" w:sz="4" w:space="0" w:color="auto"/>
              <w:right w:val="single" w:sz="4" w:space="0" w:color="auto"/>
            </w:tcBorders>
          </w:tcPr>
          <w:p w:rsidR="00581CCF" w:rsidRDefault="00581CCF">
            <w:pPr>
              <w:rPr>
                <w:sz w:val="18"/>
                <w:lang w:val="en-US"/>
              </w:rPr>
            </w:pPr>
          </w:p>
        </w:tc>
      </w:tr>
    </w:tbl>
    <w:p w:rsidR="006E2F11" w:rsidRDefault="006E2F11" w:rsidP="006E2F11">
      <w:pPr>
        <w:rPr>
          <w:rFonts w:asciiTheme="majorHAnsi" w:hAnsiTheme="majorHAnsi"/>
          <w:b/>
          <w:color w:val="0070C0"/>
          <w:sz w:val="24"/>
          <w:szCs w:val="24"/>
          <w:lang w:val="en-US"/>
        </w:rPr>
      </w:pPr>
    </w:p>
    <w:p w:rsidR="006E2F11" w:rsidRDefault="006E2F11" w:rsidP="006E2F11">
      <w:pPr>
        <w:rPr>
          <w:rFonts w:asciiTheme="majorHAnsi" w:hAnsiTheme="majorHAnsi"/>
          <w:b/>
          <w:color w:val="0070C0"/>
          <w:sz w:val="24"/>
          <w:szCs w:val="24"/>
          <w:lang w:val="en-US"/>
        </w:rPr>
      </w:pPr>
    </w:p>
    <w:p w:rsidR="006E2F11" w:rsidRDefault="006E2F11" w:rsidP="00A73FEA">
      <w:pPr>
        <w:jc w:val="center"/>
        <w:rPr>
          <w:rFonts w:asciiTheme="majorHAnsi" w:hAnsiTheme="majorHAnsi"/>
          <w:b/>
          <w:color w:val="0070C0"/>
          <w:sz w:val="24"/>
          <w:szCs w:val="24"/>
          <w:lang w:val="en-US"/>
        </w:rPr>
      </w:pPr>
      <w:r w:rsidRPr="006E2F11">
        <w:rPr>
          <w:rFonts w:asciiTheme="majorHAnsi" w:hAnsiTheme="majorHAnsi"/>
          <w:b/>
          <w:color w:val="0070C0"/>
          <w:sz w:val="24"/>
          <w:szCs w:val="24"/>
          <w:lang w:val="en-US"/>
        </w:rPr>
        <w:t>Contents</w:t>
      </w:r>
    </w:p>
    <w:p w:rsidR="006E2F11" w:rsidRDefault="006E2F11" w:rsidP="00A73FEA">
      <w:pPr>
        <w:jc w:val="center"/>
        <w:rPr>
          <w:rFonts w:asciiTheme="majorHAnsi" w:hAnsiTheme="majorHAnsi"/>
          <w:lang w:val="en-US"/>
        </w:rPr>
      </w:pPr>
      <w:r w:rsidRPr="006E2F11">
        <w:rPr>
          <w:rFonts w:asciiTheme="majorHAnsi" w:hAnsiTheme="majorHAnsi"/>
          <w:lang w:val="en-US"/>
        </w:rPr>
        <w:t>Introduction</w:t>
      </w:r>
      <w:r w:rsidRPr="006E2F11">
        <w:rPr>
          <w:rFonts w:asciiTheme="majorHAnsi" w:hAnsiTheme="majorHAnsi"/>
          <w:lang w:val="en-US"/>
        </w:rPr>
        <w:tab/>
      </w:r>
      <w:r w:rsidRPr="006E2F11">
        <w:rPr>
          <w:rFonts w:asciiTheme="majorHAnsi" w:hAnsiTheme="majorHAnsi"/>
          <w:lang w:val="en-US"/>
        </w:rPr>
        <w:tab/>
      </w:r>
      <w:r w:rsidRPr="006E2F11">
        <w:rPr>
          <w:rFonts w:asciiTheme="majorHAnsi" w:hAnsiTheme="majorHAnsi"/>
          <w:lang w:val="en-US"/>
        </w:rPr>
        <w:tab/>
        <w:t>p2</w:t>
      </w:r>
    </w:p>
    <w:p w:rsidR="006E2F11" w:rsidRDefault="00B401A6" w:rsidP="00A73FEA">
      <w:pPr>
        <w:jc w:val="center"/>
        <w:rPr>
          <w:rFonts w:asciiTheme="majorHAnsi" w:hAnsiTheme="majorHAnsi"/>
          <w:lang w:val="en-US"/>
        </w:rPr>
      </w:pPr>
      <w:r>
        <w:rPr>
          <w:rFonts w:asciiTheme="majorHAnsi" w:hAnsiTheme="majorHAnsi"/>
          <w:lang w:val="en-US"/>
        </w:rPr>
        <w:t>Welllpath Description</w:t>
      </w:r>
      <w:r w:rsidR="006E2F11">
        <w:rPr>
          <w:rFonts w:asciiTheme="majorHAnsi" w:hAnsiTheme="majorHAnsi"/>
          <w:lang w:val="en-US"/>
        </w:rPr>
        <w:t>s</w:t>
      </w:r>
      <w:r w:rsidR="006E2F11">
        <w:rPr>
          <w:rFonts w:asciiTheme="majorHAnsi" w:hAnsiTheme="majorHAnsi"/>
          <w:lang w:val="en-US"/>
        </w:rPr>
        <w:tab/>
      </w:r>
      <w:r w:rsidR="006E2F11">
        <w:rPr>
          <w:rFonts w:asciiTheme="majorHAnsi" w:hAnsiTheme="majorHAnsi"/>
          <w:lang w:val="en-US"/>
        </w:rPr>
        <w:tab/>
        <w:t>p2</w:t>
      </w:r>
    </w:p>
    <w:p w:rsidR="006E2F11" w:rsidRDefault="00D223DF" w:rsidP="00A73FEA">
      <w:pPr>
        <w:jc w:val="center"/>
        <w:rPr>
          <w:rFonts w:asciiTheme="majorHAnsi" w:hAnsiTheme="majorHAnsi"/>
          <w:lang w:val="en-US"/>
        </w:rPr>
      </w:pPr>
      <w:r>
        <w:rPr>
          <w:rFonts w:asciiTheme="majorHAnsi" w:hAnsiTheme="majorHAnsi"/>
          <w:lang w:val="en-US"/>
        </w:rPr>
        <w:t>Plan View</w:t>
      </w:r>
      <w:r>
        <w:rPr>
          <w:rFonts w:asciiTheme="majorHAnsi" w:hAnsiTheme="majorHAnsi"/>
          <w:lang w:val="en-US"/>
        </w:rPr>
        <w:tab/>
      </w:r>
      <w:r>
        <w:rPr>
          <w:rFonts w:asciiTheme="majorHAnsi" w:hAnsiTheme="majorHAnsi"/>
          <w:lang w:val="en-US"/>
        </w:rPr>
        <w:tab/>
      </w:r>
      <w:r>
        <w:rPr>
          <w:rFonts w:asciiTheme="majorHAnsi" w:hAnsiTheme="majorHAnsi"/>
          <w:lang w:val="en-US"/>
        </w:rPr>
        <w:tab/>
        <w:t>p3</w:t>
      </w:r>
    </w:p>
    <w:p w:rsidR="00D223DF" w:rsidRDefault="00D223DF" w:rsidP="00A73FEA">
      <w:pPr>
        <w:jc w:val="center"/>
        <w:rPr>
          <w:rFonts w:asciiTheme="majorHAnsi" w:hAnsiTheme="majorHAnsi"/>
          <w:lang w:val="en-US"/>
        </w:rPr>
      </w:pPr>
      <w:r>
        <w:rPr>
          <w:rFonts w:asciiTheme="majorHAnsi" w:hAnsiTheme="majorHAnsi"/>
          <w:lang w:val="en-US"/>
        </w:rPr>
        <w:t>3D View</w:t>
      </w:r>
      <w:r>
        <w:rPr>
          <w:rFonts w:asciiTheme="majorHAnsi" w:hAnsiTheme="majorHAnsi"/>
          <w:lang w:val="en-US"/>
        </w:rPr>
        <w:tab/>
      </w:r>
      <w:r>
        <w:rPr>
          <w:rFonts w:asciiTheme="majorHAnsi" w:hAnsiTheme="majorHAnsi"/>
          <w:lang w:val="en-US"/>
        </w:rPr>
        <w:tab/>
      </w:r>
      <w:r>
        <w:rPr>
          <w:rFonts w:asciiTheme="majorHAnsi" w:hAnsiTheme="majorHAnsi"/>
          <w:lang w:val="en-US"/>
        </w:rPr>
        <w:tab/>
        <w:t>p4</w:t>
      </w:r>
    </w:p>
    <w:p w:rsidR="00D223DF" w:rsidRPr="006E2F11" w:rsidRDefault="00D223DF" w:rsidP="00D223DF">
      <w:pPr>
        <w:jc w:val="center"/>
        <w:rPr>
          <w:rFonts w:asciiTheme="majorHAnsi" w:hAnsiTheme="majorHAnsi"/>
          <w:lang w:val="en-US"/>
        </w:rPr>
      </w:pPr>
      <w:r>
        <w:rPr>
          <w:rFonts w:asciiTheme="majorHAnsi" w:hAnsiTheme="majorHAnsi"/>
          <w:lang w:val="en-US"/>
        </w:rPr>
        <w:t>Set-up Instructions</w:t>
      </w:r>
      <w:r>
        <w:rPr>
          <w:rFonts w:asciiTheme="majorHAnsi" w:hAnsiTheme="majorHAnsi"/>
          <w:lang w:val="en-US"/>
        </w:rPr>
        <w:tab/>
      </w:r>
      <w:r>
        <w:rPr>
          <w:rFonts w:asciiTheme="majorHAnsi" w:hAnsiTheme="majorHAnsi"/>
          <w:lang w:val="en-US"/>
        </w:rPr>
        <w:tab/>
        <w:t>p5</w:t>
      </w:r>
    </w:p>
    <w:p w:rsidR="00D223DF" w:rsidRDefault="00FD6ED6" w:rsidP="00D223DF">
      <w:pPr>
        <w:jc w:val="center"/>
        <w:rPr>
          <w:rFonts w:asciiTheme="majorHAnsi" w:hAnsiTheme="majorHAnsi"/>
          <w:lang w:val="en-US"/>
        </w:rPr>
      </w:pPr>
      <w:r>
        <w:rPr>
          <w:rFonts w:asciiTheme="majorHAnsi" w:hAnsiTheme="majorHAnsi"/>
          <w:lang w:val="en-US"/>
        </w:rPr>
        <w:t>Wellpath Listings</w:t>
      </w:r>
      <w:r>
        <w:rPr>
          <w:rFonts w:asciiTheme="majorHAnsi" w:hAnsiTheme="majorHAnsi"/>
          <w:lang w:val="en-US"/>
        </w:rPr>
        <w:tab/>
      </w:r>
      <w:r>
        <w:rPr>
          <w:rFonts w:asciiTheme="majorHAnsi" w:hAnsiTheme="majorHAnsi"/>
          <w:lang w:val="en-US"/>
        </w:rPr>
        <w:tab/>
        <w:t>p6</w:t>
      </w:r>
      <w:bookmarkStart w:id="0" w:name="_GoBack"/>
      <w:bookmarkEnd w:id="0"/>
    </w:p>
    <w:p w:rsidR="006E2F11" w:rsidRPr="006E2F11" w:rsidRDefault="006E2F11" w:rsidP="00A73FEA">
      <w:pPr>
        <w:jc w:val="center"/>
        <w:rPr>
          <w:rFonts w:asciiTheme="majorHAnsi" w:eastAsiaTheme="majorEastAsia" w:hAnsiTheme="majorHAnsi" w:cstheme="majorBidi"/>
          <w:lang w:val="en-US"/>
        </w:rPr>
      </w:pPr>
      <w:r w:rsidRPr="006E2F11">
        <w:rPr>
          <w:rFonts w:asciiTheme="majorHAnsi" w:hAnsiTheme="majorHAnsi"/>
          <w:lang w:val="en-US"/>
        </w:rPr>
        <w:br w:type="page"/>
      </w:r>
    </w:p>
    <w:p w:rsidR="00FD15B4" w:rsidRPr="00FE16A1" w:rsidRDefault="00FD15B4" w:rsidP="000E0234">
      <w:pPr>
        <w:pStyle w:val="Heading2"/>
        <w:rPr>
          <w:color w:val="0070C0"/>
          <w:sz w:val="24"/>
          <w:szCs w:val="24"/>
          <w:lang w:val="en-US"/>
        </w:rPr>
      </w:pPr>
      <w:r w:rsidRPr="00FE16A1">
        <w:rPr>
          <w:color w:val="0070C0"/>
          <w:sz w:val="24"/>
          <w:szCs w:val="24"/>
          <w:lang w:val="en-US"/>
        </w:rPr>
        <w:lastRenderedPageBreak/>
        <w:t>Introduction</w:t>
      </w:r>
    </w:p>
    <w:p w:rsidR="00D62B01" w:rsidRPr="00D62B01" w:rsidRDefault="00D62B01" w:rsidP="00E17594">
      <w:pPr>
        <w:spacing w:after="0"/>
        <w:rPr>
          <w:lang w:val="en-US"/>
        </w:rPr>
      </w:pPr>
    </w:p>
    <w:p w:rsidR="005042FB" w:rsidRPr="005042FB" w:rsidRDefault="005042FB" w:rsidP="005042FB">
      <w:pPr>
        <w:rPr>
          <w:lang w:val="en-US"/>
        </w:rPr>
      </w:pPr>
      <w:r>
        <w:rPr>
          <w:lang w:val="en-US"/>
        </w:rPr>
        <w:t xml:space="preserve">This document </w:t>
      </w:r>
      <w:r w:rsidR="00CB6A14">
        <w:rPr>
          <w:lang w:val="en-US"/>
        </w:rPr>
        <w:t>was</w:t>
      </w:r>
      <w:r>
        <w:rPr>
          <w:lang w:val="en-US"/>
        </w:rPr>
        <w:t xml:space="preserve"> written in response to requests for a standard set of well separation scenarios that will allow comparison between </w:t>
      </w:r>
      <w:r w:rsidR="00A60686">
        <w:rPr>
          <w:lang w:val="en-US"/>
        </w:rPr>
        <w:t>clearance scanning rules</w:t>
      </w:r>
      <w:r>
        <w:rPr>
          <w:lang w:val="en-US"/>
        </w:rPr>
        <w:t xml:space="preserve"> under a range of </w:t>
      </w:r>
      <w:r w:rsidR="00D62B01">
        <w:rPr>
          <w:lang w:val="en-US"/>
        </w:rPr>
        <w:t>proximity conditions</w:t>
      </w:r>
      <w:r>
        <w:rPr>
          <w:lang w:val="en-US"/>
        </w:rPr>
        <w:t xml:space="preserve"> and also test agreement between implementation</w:t>
      </w:r>
      <w:r w:rsidR="00D62B01">
        <w:rPr>
          <w:lang w:val="en-US"/>
        </w:rPr>
        <w:t>s</w:t>
      </w:r>
      <w:r>
        <w:rPr>
          <w:lang w:val="en-US"/>
        </w:rPr>
        <w:t xml:space="preserve"> of the same </w:t>
      </w:r>
      <w:r w:rsidR="00A60686">
        <w:rPr>
          <w:lang w:val="en-US"/>
        </w:rPr>
        <w:t>rule</w:t>
      </w:r>
      <w:r>
        <w:rPr>
          <w:lang w:val="en-US"/>
        </w:rPr>
        <w:t xml:space="preserve"> in different software.</w:t>
      </w:r>
      <w:r w:rsidR="00D62B01">
        <w:rPr>
          <w:lang w:val="en-US"/>
        </w:rPr>
        <w:t xml:space="preserve">  The well set</w:t>
      </w:r>
      <w:r>
        <w:rPr>
          <w:lang w:val="en-US"/>
        </w:rPr>
        <w:t xml:space="preserve"> fulfills a simil</w:t>
      </w:r>
      <w:r w:rsidR="00306CC7">
        <w:rPr>
          <w:lang w:val="en-US"/>
        </w:rPr>
        <w:t>ar role to the standard ISCWSA</w:t>
      </w:r>
      <w:r>
        <w:rPr>
          <w:lang w:val="en-US"/>
        </w:rPr>
        <w:t xml:space="preserve"> well profiles defined in for use in validating error model implementations.</w:t>
      </w:r>
    </w:p>
    <w:p w:rsidR="00002240" w:rsidRPr="007326D4" w:rsidRDefault="002C0090" w:rsidP="005042FB">
      <w:pPr>
        <w:rPr>
          <w:lang w:val="en-US"/>
        </w:rPr>
      </w:pPr>
      <w:r w:rsidRPr="005042FB">
        <w:rPr>
          <w:lang w:val="en-US"/>
        </w:rPr>
        <w:t>The set consists of 1 reference well and 1</w:t>
      </w:r>
      <w:r w:rsidR="0003403A">
        <w:rPr>
          <w:lang w:val="en-US"/>
        </w:rPr>
        <w:t>1</w:t>
      </w:r>
      <w:r w:rsidRPr="005042FB">
        <w:rPr>
          <w:lang w:val="en-US"/>
        </w:rPr>
        <w:t xml:space="preserve"> offset wells</w:t>
      </w:r>
      <w:r w:rsidR="005042FB" w:rsidRPr="005042FB">
        <w:rPr>
          <w:lang w:val="en-US"/>
        </w:rPr>
        <w:t>.  The r</w:t>
      </w:r>
      <w:r w:rsidR="00002240" w:rsidRPr="005042FB">
        <w:rPr>
          <w:lang w:val="en-US"/>
        </w:rPr>
        <w:t>elationship between the reference well and each offset well is considered individually</w:t>
      </w:r>
      <w:r w:rsidR="005042FB" w:rsidRPr="005042FB">
        <w:rPr>
          <w:lang w:val="en-US"/>
        </w:rPr>
        <w:t>. N</w:t>
      </w:r>
      <w:r w:rsidR="00002240" w:rsidRPr="005042FB">
        <w:rPr>
          <w:lang w:val="en-US"/>
        </w:rPr>
        <w:t>o off</w:t>
      </w:r>
      <w:r w:rsidR="005042FB" w:rsidRPr="005042FB">
        <w:rPr>
          <w:lang w:val="en-US"/>
        </w:rPr>
        <w:t>set to offset clearances are considered</w:t>
      </w:r>
      <w:r w:rsidR="005042FB" w:rsidRPr="007326D4">
        <w:rPr>
          <w:lang w:val="en-US"/>
        </w:rPr>
        <w:t>.</w:t>
      </w:r>
    </w:p>
    <w:p w:rsidR="00213908" w:rsidRDefault="00A253B7" w:rsidP="003C6765">
      <w:pPr>
        <w:rPr>
          <w:lang w:val="en-US"/>
        </w:rPr>
      </w:pPr>
      <w:r w:rsidRPr="00A253B7">
        <w:rPr>
          <w:lang w:val="en-US"/>
        </w:rPr>
        <w:t xml:space="preserve">As with the ISCWSA standard error model well set, it is important to set up the wells correctly.  Detailed instructions are provided in the </w:t>
      </w:r>
      <w:r w:rsidR="00D66243">
        <w:rPr>
          <w:lang w:val="en-US"/>
        </w:rPr>
        <w:t>Set-up Instructions section</w:t>
      </w:r>
      <w:r w:rsidRPr="00A253B7">
        <w:rPr>
          <w:lang w:val="en-US"/>
        </w:rPr>
        <w:t xml:space="preserve">.   Before </w:t>
      </w:r>
      <w:r w:rsidR="00F66B8C">
        <w:rPr>
          <w:lang w:val="en-US"/>
        </w:rPr>
        <w:t xml:space="preserve">using these </w:t>
      </w:r>
      <w:r w:rsidR="007E0A3C">
        <w:rPr>
          <w:lang w:val="en-US"/>
        </w:rPr>
        <w:t>wellpaths to</w:t>
      </w:r>
      <w:r w:rsidR="00FC2EC8">
        <w:rPr>
          <w:lang w:val="en-US"/>
        </w:rPr>
        <w:t xml:space="preserve"> </w:t>
      </w:r>
      <w:r w:rsidRPr="00A253B7">
        <w:rPr>
          <w:lang w:val="en-US"/>
        </w:rPr>
        <w:t>evaluat</w:t>
      </w:r>
      <w:r w:rsidR="00FC2EC8">
        <w:rPr>
          <w:lang w:val="en-US"/>
        </w:rPr>
        <w:t>e</w:t>
      </w:r>
      <w:r w:rsidRPr="00A253B7">
        <w:rPr>
          <w:lang w:val="en-US"/>
        </w:rPr>
        <w:t xml:space="preserve"> more complex clearance calculations, users should </w:t>
      </w:r>
      <w:r w:rsidR="00FC2EC8">
        <w:rPr>
          <w:lang w:val="en-US"/>
        </w:rPr>
        <w:t xml:space="preserve">first </w:t>
      </w:r>
      <w:r w:rsidR="00F66B8C">
        <w:rPr>
          <w:lang w:val="en-US"/>
        </w:rPr>
        <w:t>ensure that they obtain</w:t>
      </w:r>
      <w:r w:rsidRPr="00A253B7">
        <w:rPr>
          <w:lang w:val="en-US"/>
        </w:rPr>
        <w:t xml:space="preserve"> </w:t>
      </w:r>
      <w:r w:rsidR="00F4455C">
        <w:rPr>
          <w:lang w:val="en-US"/>
        </w:rPr>
        <w:t>wellpath coordinate</w:t>
      </w:r>
      <w:r w:rsidR="00F66B8C">
        <w:rPr>
          <w:lang w:val="en-US"/>
        </w:rPr>
        <w:t>s</w:t>
      </w:r>
      <w:r w:rsidR="00F4455C">
        <w:rPr>
          <w:lang w:val="en-US"/>
        </w:rPr>
        <w:t xml:space="preserve">, </w:t>
      </w:r>
      <w:r w:rsidRPr="00A253B7">
        <w:rPr>
          <w:lang w:val="en-US"/>
        </w:rPr>
        <w:t>position uncertaint</w:t>
      </w:r>
      <w:r w:rsidR="00F66B8C">
        <w:rPr>
          <w:lang w:val="en-US"/>
        </w:rPr>
        <w:t>ies</w:t>
      </w:r>
      <w:r w:rsidRPr="00A253B7">
        <w:rPr>
          <w:lang w:val="en-US"/>
        </w:rPr>
        <w:t xml:space="preserve"> and “cente</w:t>
      </w:r>
      <w:r w:rsidR="00FC2EC8">
        <w:rPr>
          <w:lang w:val="en-US"/>
        </w:rPr>
        <w:t xml:space="preserve">r to center” clearance </w:t>
      </w:r>
      <w:r w:rsidR="00F66B8C">
        <w:rPr>
          <w:lang w:val="en-US"/>
        </w:rPr>
        <w:t xml:space="preserve">distances </w:t>
      </w:r>
      <w:r w:rsidR="00FC2EC8">
        <w:rPr>
          <w:lang w:val="en-US"/>
        </w:rPr>
        <w:t xml:space="preserve">that agree with the definitive listings </w:t>
      </w:r>
      <w:r w:rsidR="00F4455C">
        <w:rPr>
          <w:lang w:val="en-US"/>
        </w:rPr>
        <w:t>provided</w:t>
      </w:r>
      <w:r w:rsidR="00FC2EC8">
        <w:rPr>
          <w:lang w:val="en-US"/>
        </w:rPr>
        <w:t xml:space="preserve"> in the embedded workbook</w:t>
      </w:r>
      <w:r w:rsidR="00B61E27">
        <w:rPr>
          <w:lang w:val="en-US"/>
        </w:rPr>
        <w:t>.</w:t>
      </w:r>
      <w:r w:rsidR="00213908">
        <w:rPr>
          <w:lang w:val="en-US"/>
        </w:rPr>
        <w:t xml:space="preserve"> </w:t>
      </w:r>
    </w:p>
    <w:p w:rsidR="00CB7A8C" w:rsidRDefault="00CB6A14" w:rsidP="00CB6A14">
      <w:pPr>
        <w:rPr>
          <w:lang w:val="en-US"/>
        </w:rPr>
      </w:pPr>
      <w:r>
        <w:rPr>
          <w:lang w:val="en-US"/>
        </w:rPr>
        <w:t>The well set can be used with any error models, but the u</w:t>
      </w:r>
      <w:r w:rsidR="00CB7A8C" w:rsidRPr="003C6765">
        <w:rPr>
          <w:lang w:val="en-US"/>
        </w:rPr>
        <w:t>ncertainty values</w:t>
      </w:r>
      <w:r>
        <w:rPr>
          <w:lang w:val="en-US"/>
        </w:rPr>
        <w:t xml:space="preserve"> included in the wellpath listings are </w:t>
      </w:r>
      <w:r w:rsidR="00CB7A8C">
        <w:rPr>
          <w:lang w:val="en-US"/>
        </w:rPr>
        <w:t xml:space="preserve">based on the ISCWSA MWD </w:t>
      </w:r>
      <w:r>
        <w:rPr>
          <w:lang w:val="en-US"/>
        </w:rPr>
        <w:t xml:space="preserve">rev 4 </w:t>
      </w:r>
      <w:r w:rsidR="00CB7A8C">
        <w:rPr>
          <w:lang w:val="en-US"/>
        </w:rPr>
        <w:t>model</w:t>
      </w:r>
      <w:r w:rsidR="007A6F1D">
        <w:rPr>
          <w:lang w:val="en-US"/>
        </w:rPr>
        <w:t>.</w:t>
      </w:r>
      <w:r w:rsidR="00CB7A8C">
        <w:rPr>
          <w:lang w:val="en-US"/>
        </w:rPr>
        <w:t xml:space="preserve">  The </w:t>
      </w:r>
      <w:r w:rsidR="007A6F1D">
        <w:rPr>
          <w:lang w:val="en-US"/>
        </w:rPr>
        <w:t xml:space="preserve">  Implementation of the ISCWSA model may vary slightly between programs, but </w:t>
      </w:r>
      <w:r w:rsidR="00CB7A8C">
        <w:rPr>
          <w:lang w:val="en-US"/>
        </w:rPr>
        <w:t xml:space="preserve">if the wells have been set up correctly, </w:t>
      </w:r>
      <w:r w:rsidR="007A6F1D">
        <w:rPr>
          <w:lang w:val="en-US"/>
        </w:rPr>
        <w:t>agreement with the uncertainties reported in the definitive listing is expected to be good to the second decimal place for values greater than 0.3m.</w:t>
      </w:r>
      <w:r w:rsidR="00CB7A8C">
        <w:rPr>
          <w:lang w:val="en-US"/>
        </w:rPr>
        <w:t xml:space="preserve"> </w:t>
      </w:r>
    </w:p>
    <w:p w:rsidR="00A82B85" w:rsidRDefault="00A82B85" w:rsidP="00213908">
      <w:pPr>
        <w:rPr>
          <w:lang w:val="en-US"/>
        </w:rPr>
      </w:pPr>
      <w:r>
        <w:rPr>
          <w:lang w:val="en-US"/>
        </w:rPr>
        <w:t>The clearance results include a calculation of the ISCWSA Separation Factor (SF) as detailed in SPE 187073. Agreement with the results is expected to be within one decimal place for values less than 10.</w:t>
      </w:r>
    </w:p>
    <w:p w:rsidR="00213908" w:rsidRDefault="00213908" w:rsidP="00213908">
      <w:pPr>
        <w:rPr>
          <w:lang w:val="en-US"/>
        </w:rPr>
      </w:pPr>
    </w:p>
    <w:p w:rsidR="005B0065" w:rsidRPr="00213908" w:rsidRDefault="00D62B01" w:rsidP="00213908">
      <w:pPr>
        <w:rPr>
          <w:rFonts w:asciiTheme="majorHAnsi" w:hAnsiTheme="majorHAnsi"/>
          <w:b/>
          <w:color w:val="0070C0"/>
          <w:sz w:val="24"/>
          <w:szCs w:val="24"/>
          <w:lang w:val="en-US"/>
        </w:rPr>
      </w:pPr>
      <w:r w:rsidRPr="00213908">
        <w:rPr>
          <w:rFonts w:asciiTheme="majorHAnsi" w:hAnsiTheme="majorHAnsi"/>
          <w:b/>
          <w:color w:val="0070C0"/>
          <w:sz w:val="24"/>
          <w:szCs w:val="24"/>
          <w:lang w:val="en-US"/>
        </w:rPr>
        <w:t xml:space="preserve">Wellpath </w:t>
      </w:r>
      <w:r w:rsidR="00B401A6" w:rsidRPr="00213908">
        <w:rPr>
          <w:rFonts w:asciiTheme="majorHAnsi" w:hAnsiTheme="majorHAnsi"/>
          <w:b/>
          <w:color w:val="0070C0"/>
          <w:sz w:val="24"/>
          <w:szCs w:val="24"/>
          <w:lang w:val="en-US"/>
        </w:rPr>
        <w:t>Descriptions</w:t>
      </w:r>
    </w:p>
    <w:p w:rsidR="00E17594" w:rsidRPr="00E17594" w:rsidRDefault="00E17594" w:rsidP="00BD0A94">
      <w:pPr>
        <w:spacing w:after="0"/>
        <w:rPr>
          <w:lang w:val="en-US"/>
        </w:rPr>
      </w:pPr>
    </w:p>
    <w:tbl>
      <w:tblPr>
        <w:tblStyle w:val="TableGrid"/>
        <w:tblW w:w="0" w:type="auto"/>
        <w:tblLook w:val="04A0" w:firstRow="1" w:lastRow="0" w:firstColumn="1" w:lastColumn="0" w:noHBand="0" w:noVBand="1"/>
      </w:tblPr>
      <w:tblGrid>
        <w:gridCol w:w="3510"/>
        <w:gridCol w:w="6066"/>
      </w:tblGrid>
      <w:tr w:rsidR="005B0065" w:rsidTr="005B0065">
        <w:tc>
          <w:tcPr>
            <w:tcW w:w="3510" w:type="dxa"/>
            <w:shd w:val="clear" w:color="auto" w:fill="D9D9D9" w:themeFill="background1" w:themeFillShade="D9"/>
          </w:tcPr>
          <w:p w:rsidR="005B0065" w:rsidRPr="005B0065" w:rsidRDefault="005B0065" w:rsidP="005B0065">
            <w:pPr>
              <w:rPr>
                <w:b/>
                <w:lang w:val="en-US"/>
              </w:rPr>
            </w:pPr>
            <w:r w:rsidRPr="005B0065">
              <w:rPr>
                <w:b/>
                <w:lang w:val="en-US"/>
              </w:rPr>
              <w:t>Wellpath name</w:t>
            </w:r>
          </w:p>
        </w:tc>
        <w:tc>
          <w:tcPr>
            <w:tcW w:w="6066" w:type="dxa"/>
            <w:shd w:val="clear" w:color="auto" w:fill="D9D9D9" w:themeFill="background1" w:themeFillShade="D9"/>
          </w:tcPr>
          <w:p w:rsidR="005B0065" w:rsidRPr="005B0065" w:rsidRDefault="005D7A23" w:rsidP="005B0065">
            <w:pPr>
              <w:rPr>
                <w:b/>
                <w:lang w:val="en-US"/>
              </w:rPr>
            </w:pPr>
            <w:r>
              <w:rPr>
                <w:b/>
                <w:lang w:val="en-US"/>
              </w:rPr>
              <w:t>Relationship to Reference Welllpath</w:t>
            </w:r>
          </w:p>
        </w:tc>
      </w:tr>
      <w:tr w:rsidR="005B0065" w:rsidTr="005B0065">
        <w:tc>
          <w:tcPr>
            <w:tcW w:w="3510" w:type="dxa"/>
          </w:tcPr>
          <w:p w:rsidR="005B0065" w:rsidRDefault="00C428A3" w:rsidP="00C05FC3">
            <w:pPr>
              <w:rPr>
                <w:lang w:val="en-US"/>
              </w:rPr>
            </w:pPr>
            <w:r w:rsidRPr="00D5215F">
              <w:rPr>
                <w:lang w:val="en-US"/>
              </w:rPr>
              <w:t xml:space="preserve">Reference </w:t>
            </w:r>
          </w:p>
        </w:tc>
        <w:tc>
          <w:tcPr>
            <w:tcW w:w="6066" w:type="dxa"/>
          </w:tcPr>
          <w:p w:rsidR="005B0065" w:rsidRDefault="005B0065" w:rsidP="005B0065">
            <w:pPr>
              <w:rPr>
                <w:lang w:val="en-US"/>
              </w:rPr>
            </w:pPr>
            <w:r>
              <w:rPr>
                <w:lang w:val="en-US"/>
              </w:rPr>
              <w:t>Reference wellpath. 2DJ to 85 deg</w:t>
            </w:r>
            <w:r w:rsidR="00CC3643">
              <w:rPr>
                <w:lang w:val="en-US"/>
              </w:rPr>
              <w:t xml:space="preserve"> </w:t>
            </w:r>
            <w:r w:rsidR="00956EDB">
              <w:rPr>
                <w:lang w:val="en-US"/>
              </w:rPr>
              <w:t xml:space="preserve">inc, </w:t>
            </w:r>
            <w:r w:rsidR="00CC3643">
              <w:rPr>
                <w:lang w:val="en-US"/>
              </w:rPr>
              <w:t>due south</w:t>
            </w:r>
            <w:r w:rsidR="007E1E15">
              <w:rPr>
                <w:lang w:val="en-US"/>
              </w:rPr>
              <w:t>, then horizontal</w:t>
            </w:r>
          </w:p>
        </w:tc>
      </w:tr>
      <w:tr w:rsidR="005B0065" w:rsidTr="005B0065">
        <w:tc>
          <w:tcPr>
            <w:tcW w:w="3510" w:type="dxa"/>
          </w:tcPr>
          <w:p w:rsidR="005B0065" w:rsidRDefault="00CC3643" w:rsidP="00CC3643">
            <w:pPr>
              <w:rPr>
                <w:lang w:val="en-US"/>
              </w:rPr>
            </w:pPr>
            <w:r w:rsidRPr="00D5215F">
              <w:rPr>
                <w:lang w:val="en-US"/>
              </w:rPr>
              <w:t>Offset 01: East 100</w:t>
            </w:r>
          </w:p>
        </w:tc>
        <w:tc>
          <w:tcPr>
            <w:tcW w:w="6066" w:type="dxa"/>
          </w:tcPr>
          <w:p w:rsidR="00CC3643" w:rsidRDefault="00D66243" w:rsidP="00D66243">
            <w:pPr>
              <w:rPr>
                <w:lang w:val="en-US"/>
              </w:rPr>
            </w:pPr>
            <w:r>
              <w:rPr>
                <w:lang w:val="en-US"/>
              </w:rPr>
              <w:t xml:space="preserve">Parallel to reference, offset </w:t>
            </w:r>
            <w:r w:rsidR="00CC3643">
              <w:rPr>
                <w:lang w:val="en-US"/>
              </w:rPr>
              <w:t>100m to the east</w:t>
            </w:r>
          </w:p>
        </w:tc>
      </w:tr>
      <w:tr w:rsidR="005B0065" w:rsidTr="005B0065">
        <w:tc>
          <w:tcPr>
            <w:tcW w:w="3510" w:type="dxa"/>
          </w:tcPr>
          <w:p w:rsidR="005B0065" w:rsidRDefault="00CC3643" w:rsidP="00CC3643">
            <w:pPr>
              <w:rPr>
                <w:lang w:val="en-US"/>
              </w:rPr>
            </w:pPr>
            <w:r w:rsidRPr="00D5215F">
              <w:rPr>
                <w:lang w:val="en-US"/>
              </w:rPr>
              <w:t>Offset 02: North 100</w:t>
            </w:r>
          </w:p>
        </w:tc>
        <w:tc>
          <w:tcPr>
            <w:tcW w:w="6066" w:type="dxa"/>
          </w:tcPr>
          <w:p w:rsidR="005B0065" w:rsidRDefault="00CC3643" w:rsidP="00CC3643">
            <w:pPr>
              <w:rPr>
                <w:lang w:val="en-US"/>
              </w:rPr>
            </w:pPr>
            <w:r>
              <w:rPr>
                <w:lang w:val="en-US"/>
              </w:rPr>
              <w:t>P</w:t>
            </w:r>
            <w:r w:rsidR="00D66243">
              <w:rPr>
                <w:lang w:val="en-US"/>
              </w:rPr>
              <w:t xml:space="preserve">arallel to reference, offset </w:t>
            </w:r>
            <w:r>
              <w:rPr>
                <w:lang w:val="en-US"/>
              </w:rPr>
              <w:t>100m to the north</w:t>
            </w:r>
          </w:p>
        </w:tc>
      </w:tr>
      <w:tr w:rsidR="005B0065" w:rsidTr="005B0065">
        <w:tc>
          <w:tcPr>
            <w:tcW w:w="3510" w:type="dxa"/>
          </w:tcPr>
          <w:p w:rsidR="005B0065" w:rsidRDefault="00CC3643" w:rsidP="005B0065">
            <w:pPr>
              <w:rPr>
                <w:lang w:val="en-US"/>
              </w:rPr>
            </w:pPr>
            <w:r w:rsidRPr="00D5215F">
              <w:rPr>
                <w:lang w:val="en-US"/>
              </w:rPr>
              <w:t>Offset 03: East 10</w:t>
            </w:r>
          </w:p>
        </w:tc>
        <w:tc>
          <w:tcPr>
            <w:tcW w:w="6066" w:type="dxa"/>
          </w:tcPr>
          <w:p w:rsidR="005B0065" w:rsidRDefault="00CC3643" w:rsidP="00D66243">
            <w:pPr>
              <w:rPr>
                <w:lang w:val="en-US"/>
              </w:rPr>
            </w:pPr>
            <w:r>
              <w:rPr>
                <w:lang w:val="en-US"/>
              </w:rPr>
              <w:t xml:space="preserve">Close top hole, then crossing reference at shallow </w:t>
            </w:r>
            <w:r w:rsidR="00D66243">
              <w:rPr>
                <w:lang w:val="en-US"/>
              </w:rPr>
              <w:t xml:space="preserve">incident </w:t>
            </w:r>
            <w:r>
              <w:rPr>
                <w:lang w:val="en-US"/>
              </w:rPr>
              <w:t>angle</w:t>
            </w:r>
          </w:p>
        </w:tc>
      </w:tr>
      <w:tr w:rsidR="005B0065" w:rsidTr="005B0065">
        <w:tc>
          <w:tcPr>
            <w:tcW w:w="3510" w:type="dxa"/>
          </w:tcPr>
          <w:p w:rsidR="005B0065" w:rsidRDefault="00CC3643" w:rsidP="00CC3643">
            <w:pPr>
              <w:rPr>
                <w:lang w:val="en-US"/>
              </w:rPr>
            </w:pPr>
            <w:r w:rsidRPr="00D5215F">
              <w:rPr>
                <w:lang w:val="en-US"/>
              </w:rPr>
              <w:t>Offset 04: East 20</w:t>
            </w:r>
          </w:p>
        </w:tc>
        <w:tc>
          <w:tcPr>
            <w:tcW w:w="6066" w:type="dxa"/>
          </w:tcPr>
          <w:p w:rsidR="005B0065" w:rsidRDefault="00CC3643" w:rsidP="00D66243">
            <w:pPr>
              <w:rPr>
                <w:lang w:val="en-US"/>
              </w:rPr>
            </w:pPr>
            <w:r>
              <w:rPr>
                <w:lang w:val="en-US"/>
              </w:rPr>
              <w:t>Close top hole, approa</w:t>
            </w:r>
            <w:r w:rsidR="00D66243">
              <w:rPr>
                <w:lang w:val="en-US"/>
              </w:rPr>
              <w:t xml:space="preserve">ching then diverging at shallow </w:t>
            </w:r>
            <w:r>
              <w:rPr>
                <w:lang w:val="en-US"/>
              </w:rPr>
              <w:t>angle</w:t>
            </w:r>
          </w:p>
        </w:tc>
      </w:tr>
      <w:tr w:rsidR="005B0065" w:rsidTr="005B0065">
        <w:tc>
          <w:tcPr>
            <w:tcW w:w="3510" w:type="dxa"/>
          </w:tcPr>
          <w:p w:rsidR="005B0065" w:rsidRDefault="00CC3643" w:rsidP="00CC3643">
            <w:pPr>
              <w:rPr>
                <w:lang w:val="en-US"/>
              </w:rPr>
            </w:pPr>
            <w:r w:rsidRPr="00D5215F">
              <w:rPr>
                <w:lang w:val="en-US"/>
              </w:rPr>
              <w:t>Offset 05: Angular</w:t>
            </w:r>
          </w:p>
        </w:tc>
        <w:tc>
          <w:tcPr>
            <w:tcW w:w="6066" w:type="dxa"/>
          </w:tcPr>
          <w:p w:rsidR="005B0065" w:rsidRDefault="00CC3643" w:rsidP="005B0065">
            <w:pPr>
              <w:rPr>
                <w:lang w:val="en-US"/>
              </w:rPr>
            </w:pPr>
            <w:r>
              <w:rPr>
                <w:lang w:val="en-US"/>
              </w:rPr>
              <w:t>Approaching at depth at an acute angle</w:t>
            </w:r>
          </w:p>
        </w:tc>
      </w:tr>
      <w:tr w:rsidR="005B0065" w:rsidTr="005B0065">
        <w:tc>
          <w:tcPr>
            <w:tcW w:w="3510" w:type="dxa"/>
          </w:tcPr>
          <w:p w:rsidR="005B0065" w:rsidRDefault="00CC3643" w:rsidP="00CC3643">
            <w:pPr>
              <w:rPr>
                <w:lang w:val="en-US"/>
              </w:rPr>
            </w:pPr>
            <w:r w:rsidRPr="00D5215F">
              <w:rPr>
                <w:lang w:val="en-US"/>
              </w:rPr>
              <w:t>Offset 06: Overlap opposite</w:t>
            </w:r>
          </w:p>
        </w:tc>
        <w:tc>
          <w:tcPr>
            <w:tcW w:w="6066" w:type="dxa"/>
          </w:tcPr>
          <w:p w:rsidR="00CC3643" w:rsidRDefault="00CC3643" w:rsidP="005B0065">
            <w:pPr>
              <w:rPr>
                <w:lang w:val="en-US"/>
              </w:rPr>
            </w:pPr>
            <w:r>
              <w:rPr>
                <w:lang w:val="en-US"/>
              </w:rPr>
              <w:t xml:space="preserve">Approaching at 180deg </w:t>
            </w:r>
            <w:r w:rsidR="00956EDB">
              <w:rPr>
                <w:lang w:val="en-US"/>
              </w:rPr>
              <w:t xml:space="preserve">relative azimuth </w:t>
            </w:r>
            <w:r>
              <w:rPr>
                <w:lang w:val="en-US"/>
              </w:rPr>
              <w:t>and overlapping</w:t>
            </w:r>
          </w:p>
        </w:tc>
      </w:tr>
      <w:tr w:rsidR="005B0065" w:rsidTr="005B0065">
        <w:tc>
          <w:tcPr>
            <w:tcW w:w="3510" w:type="dxa"/>
          </w:tcPr>
          <w:p w:rsidR="005B0065" w:rsidRDefault="00CC3643" w:rsidP="005B0065">
            <w:pPr>
              <w:rPr>
                <w:lang w:val="en-US"/>
              </w:rPr>
            </w:pPr>
            <w:r w:rsidRPr="00D5215F">
              <w:rPr>
                <w:lang w:val="en-US"/>
              </w:rPr>
              <w:t>Offset 07: Short opposite</w:t>
            </w:r>
          </w:p>
        </w:tc>
        <w:tc>
          <w:tcPr>
            <w:tcW w:w="6066" w:type="dxa"/>
          </w:tcPr>
          <w:p w:rsidR="005B0065" w:rsidRDefault="00CC3643" w:rsidP="00CC3643">
            <w:pPr>
              <w:rPr>
                <w:lang w:val="en-US"/>
              </w:rPr>
            </w:pPr>
            <w:r>
              <w:rPr>
                <w:lang w:val="en-US"/>
              </w:rPr>
              <w:t xml:space="preserve">Approaching at 180deg </w:t>
            </w:r>
            <w:r w:rsidR="00956EDB">
              <w:rPr>
                <w:lang w:val="en-US"/>
              </w:rPr>
              <w:t xml:space="preserve">relative azimuth </w:t>
            </w:r>
            <w:r>
              <w:rPr>
                <w:lang w:val="en-US"/>
              </w:rPr>
              <w:t>and stopping short</w:t>
            </w:r>
          </w:p>
        </w:tc>
      </w:tr>
      <w:tr w:rsidR="005B0065" w:rsidTr="005B0065">
        <w:tc>
          <w:tcPr>
            <w:tcW w:w="3510" w:type="dxa"/>
          </w:tcPr>
          <w:p w:rsidR="005B0065" w:rsidRDefault="00CC3643" w:rsidP="005B0065">
            <w:pPr>
              <w:rPr>
                <w:lang w:val="en-US"/>
              </w:rPr>
            </w:pPr>
            <w:r w:rsidRPr="00D5215F">
              <w:rPr>
                <w:lang w:val="en-US"/>
              </w:rPr>
              <w:t>Offset 08: Perpendicular</w:t>
            </w:r>
          </w:p>
        </w:tc>
        <w:tc>
          <w:tcPr>
            <w:tcW w:w="6066" w:type="dxa"/>
          </w:tcPr>
          <w:p w:rsidR="005B0065" w:rsidRDefault="00CC3643" w:rsidP="005B0065">
            <w:pPr>
              <w:rPr>
                <w:lang w:val="en-US"/>
              </w:rPr>
            </w:pPr>
            <w:r>
              <w:rPr>
                <w:lang w:val="en-US"/>
              </w:rPr>
              <w:t>Approaching at 90deg</w:t>
            </w:r>
            <w:r w:rsidR="00956EDB">
              <w:rPr>
                <w:lang w:val="en-US"/>
              </w:rPr>
              <w:t xml:space="preserve"> relative azimuth</w:t>
            </w:r>
          </w:p>
        </w:tc>
      </w:tr>
      <w:tr w:rsidR="005B0065" w:rsidTr="005B0065">
        <w:tc>
          <w:tcPr>
            <w:tcW w:w="3510" w:type="dxa"/>
          </w:tcPr>
          <w:p w:rsidR="005B0065" w:rsidRDefault="00CC3643" w:rsidP="005B0065">
            <w:pPr>
              <w:rPr>
                <w:lang w:val="en-US"/>
              </w:rPr>
            </w:pPr>
            <w:r w:rsidRPr="00D5215F">
              <w:rPr>
                <w:lang w:val="en-US"/>
              </w:rPr>
              <w:t>Offset 09: Vertical</w:t>
            </w:r>
          </w:p>
        </w:tc>
        <w:tc>
          <w:tcPr>
            <w:tcW w:w="6066" w:type="dxa"/>
          </w:tcPr>
          <w:p w:rsidR="005B0065" w:rsidRDefault="00CC3643" w:rsidP="005B0065">
            <w:pPr>
              <w:rPr>
                <w:lang w:val="en-US"/>
              </w:rPr>
            </w:pPr>
            <w:r>
              <w:rPr>
                <w:lang w:val="en-US"/>
              </w:rPr>
              <w:t>Vertical well</w:t>
            </w:r>
            <w:r w:rsidR="006A7423">
              <w:rPr>
                <w:lang w:val="en-US"/>
              </w:rPr>
              <w:t xml:space="preserve"> intersecting 85</w:t>
            </w:r>
            <w:r w:rsidR="00A8418D">
              <w:rPr>
                <w:lang w:val="en-US"/>
              </w:rPr>
              <w:t xml:space="preserve"> </w:t>
            </w:r>
            <w:r w:rsidR="00720330">
              <w:rPr>
                <w:lang w:val="en-US"/>
              </w:rPr>
              <w:t xml:space="preserve">deg </w:t>
            </w:r>
            <w:r w:rsidR="00956EDB">
              <w:rPr>
                <w:lang w:val="en-US"/>
              </w:rPr>
              <w:t xml:space="preserve">inc. </w:t>
            </w:r>
            <w:r w:rsidR="006A7423">
              <w:rPr>
                <w:lang w:val="en-US"/>
              </w:rPr>
              <w:t>tangent</w:t>
            </w:r>
          </w:p>
        </w:tc>
      </w:tr>
      <w:tr w:rsidR="005B0065" w:rsidTr="005B0065">
        <w:tc>
          <w:tcPr>
            <w:tcW w:w="3510" w:type="dxa"/>
          </w:tcPr>
          <w:p w:rsidR="005B0065" w:rsidRDefault="00CC3643" w:rsidP="005B0065">
            <w:pPr>
              <w:rPr>
                <w:lang w:val="en-US"/>
              </w:rPr>
            </w:pPr>
            <w:r w:rsidRPr="00D5215F">
              <w:rPr>
                <w:lang w:val="en-US"/>
              </w:rPr>
              <w:t xml:space="preserve">Offset 10: Sidetrack from </w:t>
            </w:r>
            <w:r w:rsidR="00F259C4">
              <w:rPr>
                <w:lang w:val="en-US"/>
              </w:rPr>
              <w:t xml:space="preserve">MD 900m on </w:t>
            </w:r>
            <w:r w:rsidRPr="00D5215F">
              <w:rPr>
                <w:lang w:val="en-US"/>
              </w:rPr>
              <w:t>reference</w:t>
            </w:r>
          </w:p>
        </w:tc>
        <w:tc>
          <w:tcPr>
            <w:tcW w:w="6066" w:type="dxa"/>
          </w:tcPr>
          <w:p w:rsidR="005B0065" w:rsidRDefault="00CC3643" w:rsidP="005B0065">
            <w:pPr>
              <w:rPr>
                <w:lang w:val="en-US"/>
              </w:rPr>
            </w:pPr>
            <w:r>
              <w:rPr>
                <w:lang w:val="en-US"/>
              </w:rPr>
              <w:t>Sidetrack that diverges from then approaches the reference well</w:t>
            </w:r>
          </w:p>
        </w:tc>
      </w:tr>
      <w:tr w:rsidR="007E1E15" w:rsidTr="005B0065">
        <w:tc>
          <w:tcPr>
            <w:tcW w:w="3510" w:type="dxa"/>
          </w:tcPr>
          <w:p w:rsidR="007E1E15" w:rsidRPr="00D5215F" w:rsidRDefault="0003403A" w:rsidP="005B0065">
            <w:pPr>
              <w:rPr>
                <w:lang w:val="en-US"/>
              </w:rPr>
            </w:pPr>
            <w:r>
              <w:rPr>
                <w:lang w:val="en-US"/>
              </w:rPr>
              <w:t>Offset 11: Horizontal approach</w:t>
            </w:r>
          </w:p>
        </w:tc>
        <w:tc>
          <w:tcPr>
            <w:tcW w:w="6066" w:type="dxa"/>
          </w:tcPr>
          <w:p w:rsidR="007E1E15" w:rsidRDefault="0003403A" w:rsidP="005B0065">
            <w:pPr>
              <w:rPr>
                <w:lang w:val="en-US"/>
              </w:rPr>
            </w:pPr>
            <w:r>
              <w:rPr>
                <w:lang w:val="en-US"/>
              </w:rPr>
              <w:t>Approaching on horizontal plane at 90deg relative azimuth</w:t>
            </w:r>
          </w:p>
        </w:tc>
      </w:tr>
    </w:tbl>
    <w:p w:rsidR="00032C94" w:rsidRDefault="00032C94" w:rsidP="009B1327">
      <w:pPr>
        <w:rPr>
          <w:lang w:val="en-US"/>
        </w:rPr>
      </w:pPr>
    </w:p>
    <w:p w:rsidR="00DD6AF2" w:rsidRDefault="00DD6AF2" w:rsidP="00A82B85">
      <w:pPr>
        <w:rPr>
          <w:color w:val="0070C0"/>
          <w:sz w:val="24"/>
          <w:szCs w:val="24"/>
          <w:lang w:val="en-US"/>
        </w:rPr>
      </w:pPr>
      <w:r w:rsidRPr="00FE16A1">
        <w:rPr>
          <w:color w:val="0070C0"/>
          <w:sz w:val="24"/>
          <w:szCs w:val="24"/>
          <w:lang w:val="en-US"/>
        </w:rPr>
        <w:t xml:space="preserve">Plan </w:t>
      </w:r>
      <w:r w:rsidR="006E2F11">
        <w:rPr>
          <w:color w:val="0070C0"/>
          <w:sz w:val="24"/>
          <w:szCs w:val="24"/>
          <w:lang w:val="en-US"/>
        </w:rPr>
        <w:t>V</w:t>
      </w:r>
      <w:r w:rsidRPr="00FE16A1">
        <w:rPr>
          <w:color w:val="0070C0"/>
          <w:sz w:val="24"/>
          <w:szCs w:val="24"/>
          <w:lang w:val="en-US"/>
        </w:rPr>
        <w:t>iew</w:t>
      </w:r>
    </w:p>
    <w:p w:rsidR="005846B9" w:rsidRPr="005846B9" w:rsidRDefault="005846B9" w:rsidP="005846B9">
      <w:pPr>
        <w:rPr>
          <w:lang w:val="en-US"/>
        </w:rPr>
      </w:pPr>
      <w:r>
        <w:rPr>
          <w:lang w:val="en-US"/>
        </w:rPr>
        <w:t>Reference well in blue</w:t>
      </w:r>
    </w:p>
    <w:p w:rsidR="0001080A" w:rsidRDefault="003E2E2F" w:rsidP="00EA676C">
      <w:pPr>
        <w:jc w:val="center"/>
        <w:rPr>
          <w:lang w:val="en-US"/>
        </w:rPr>
      </w:pPr>
      <w:r>
        <w:rPr>
          <w:noProof/>
          <w:lang w:eastAsia="en-GB"/>
        </w:rPr>
        <w:drawing>
          <wp:inline distT="0" distB="0" distL="0" distR="0" wp14:anchorId="0BBB1AD1" wp14:editId="24006FC3">
            <wp:extent cx="4425649" cy="709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0870" cy="7104496"/>
                    </a:xfrm>
                    <a:prstGeom prst="rect">
                      <a:avLst/>
                    </a:prstGeom>
                  </pic:spPr>
                </pic:pic>
              </a:graphicData>
            </a:graphic>
          </wp:inline>
        </w:drawing>
      </w:r>
    </w:p>
    <w:p w:rsidR="00880722" w:rsidRDefault="00880722" w:rsidP="00CE7BE6">
      <w:pPr>
        <w:pStyle w:val="Heading3"/>
        <w:rPr>
          <w:sz w:val="24"/>
          <w:szCs w:val="24"/>
          <w:lang w:val="en-US"/>
        </w:rPr>
      </w:pPr>
      <w:r w:rsidRPr="00AE17A7">
        <w:rPr>
          <w:sz w:val="24"/>
          <w:szCs w:val="24"/>
          <w:lang w:val="en-US"/>
        </w:rPr>
        <w:lastRenderedPageBreak/>
        <w:t>3D View</w:t>
      </w:r>
    </w:p>
    <w:p w:rsidR="005846B9" w:rsidRPr="005846B9" w:rsidRDefault="005846B9" w:rsidP="005846B9">
      <w:pPr>
        <w:rPr>
          <w:lang w:val="en-US"/>
        </w:rPr>
      </w:pPr>
      <w:r>
        <w:rPr>
          <w:lang w:val="en-US"/>
        </w:rPr>
        <w:t>Reference well in blue</w:t>
      </w:r>
    </w:p>
    <w:p w:rsidR="001D45BC" w:rsidRPr="001D45BC" w:rsidRDefault="001D45BC" w:rsidP="001D45BC">
      <w:pPr>
        <w:rPr>
          <w:lang w:val="en-US"/>
        </w:rPr>
      </w:pPr>
    </w:p>
    <w:p w:rsidR="006E6FE3" w:rsidRDefault="003E2E2F">
      <w:pPr>
        <w:rPr>
          <w:lang w:val="en-US"/>
        </w:rPr>
      </w:pPr>
      <w:r>
        <w:rPr>
          <w:noProof/>
          <w:lang w:eastAsia="en-GB"/>
        </w:rPr>
        <w:drawing>
          <wp:inline distT="0" distB="0" distL="0" distR="0" wp14:anchorId="7D29E2A8" wp14:editId="7092AF3C">
            <wp:extent cx="5943600" cy="501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15230"/>
                    </a:xfrm>
                    <a:prstGeom prst="rect">
                      <a:avLst/>
                    </a:prstGeom>
                  </pic:spPr>
                </pic:pic>
              </a:graphicData>
            </a:graphic>
          </wp:inline>
        </w:drawing>
      </w:r>
    </w:p>
    <w:p w:rsidR="006E6FE3" w:rsidRDefault="006E6FE3" w:rsidP="006E6FE3">
      <w:pPr>
        <w:rPr>
          <w:lang w:val="en-US"/>
        </w:rPr>
      </w:pPr>
      <w:r>
        <w:rPr>
          <w:lang w:val="en-US"/>
        </w:rPr>
        <w:br w:type="page"/>
      </w:r>
    </w:p>
    <w:p w:rsidR="006E6FE3" w:rsidRPr="00AE17A7" w:rsidRDefault="006E6FE3" w:rsidP="006E6FE3">
      <w:pPr>
        <w:keepNext/>
        <w:keepLines/>
        <w:spacing w:before="200" w:after="0"/>
        <w:outlineLvl w:val="1"/>
        <w:rPr>
          <w:rFonts w:asciiTheme="majorHAnsi" w:eastAsiaTheme="majorEastAsia" w:hAnsiTheme="majorHAnsi" w:cstheme="majorBidi"/>
          <w:b/>
          <w:bCs/>
          <w:color w:val="4F81BD" w:themeColor="accent1"/>
          <w:sz w:val="24"/>
          <w:szCs w:val="24"/>
          <w:lang w:val="en-US"/>
        </w:rPr>
      </w:pPr>
      <w:r w:rsidRPr="00AE17A7">
        <w:rPr>
          <w:rFonts w:asciiTheme="majorHAnsi" w:eastAsiaTheme="majorEastAsia" w:hAnsiTheme="majorHAnsi" w:cstheme="majorBidi"/>
          <w:b/>
          <w:bCs/>
          <w:color w:val="4F81BD" w:themeColor="accent1"/>
          <w:sz w:val="24"/>
          <w:szCs w:val="24"/>
          <w:lang w:val="en-US"/>
        </w:rPr>
        <w:lastRenderedPageBreak/>
        <w:t>Set-up Instructions</w:t>
      </w:r>
    </w:p>
    <w:p w:rsidR="006E6FE3" w:rsidRPr="00E17594" w:rsidRDefault="006E6FE3" w:rsidP="006E6FE3">
      <w:pPr>
        <w:spacing w:after="0"/>
        <w:rPr>
          <w:b/>
          <w:lang w:val="en-US"/>
        </w:rPr>
      </w:pPr>
    </w:p>
    <w:p w:rsidR="006E6FE3" w:rsidRPr="00E17594" w:rsidRDefault="006E6FE3" w:rsidP="006E6FE3">
      <w:pPr>
        <w:spacing w:after="0"/>
        <w:rPr>
          <w:b/>
          <w:lang w:val="en-US"/>
        </w:rPr>
      </w:pPr>
      <w:r w:rsidRPr="00E17594">
        <w:rPr>
          <w:b/>
          <w:lang w:val="en-US"/>
        </w:rPr>
        <w:t>Coordinates</w:t>
      </w:r>
    </w:p>
    <w:p w:rsidR="006E6FE3" w:rsidRPr="00E17594" w:rsidRDefault="006E6FE3" w:rsidP="006E6FE3">
      <w:pPr>
        <w:numPr>
          <w:ilvl w:val="0"/>
          <w:numId w:val="1"/>
        </w:numPr>
        <w:spacing w:after="0"/>
        <w:contextualSpacing/>
        <w:rPr>
          <w:lang w:val="en-US"/>
        </w:rPr>
      </w:pPr>
      <w:r w:rsidRPr="00E17594">
        <w:rPr>
          <w:lang w:val="en-US"/>
        </w:rPr>
        <w:t>All well locations are defined in the ED 50 / UTM 31 N coordinate system</w:t>
      </w:r>
      <w:r w:rsidR="00861310">
        <w:rPr>
          <w:lang w:val="en-US"/>
        </w:rPr>
        <w:t xml:space="preserve"> (EPSG:23031</w:t>
      </w:r>
      <w:r w:rsidR="00672130">
        <w:rPr>
          <w:lang w:val="en-US"/>
        </w:rPr>
        <w:t>, which uses the Hayford International 1924 ellipsoid</w:t>
      </w:r>
      <w:r w:rsidR="00861310">
        <w:rPr>
          <w:lang w:val="en-US"/>
        </w:rPr>
        <w:t>)</w:t>
      </w:r>
    </w:p>
    <w:p w:rsidR="006E6FE3" w:rsidRPr="00E17594" w:rsidRDefault="006E6FE3" w:rsidP="006E6FE3">
      <w:pPr>
        <w:numPr>
          <w:ilvl w:val="0"/>
          <w:numId w:val="1"/>
        </w:numPr>
        <w:spacing w:after="0"/>
        <w:contextualSpacing/>
        <w:rPr>
          <w:lang w:val="en-US"/>
        </w:rPr>
      </w:pPr>
      <w:r w:rsidRPr="00E17594">
        <w:rPr>
          <w:lang w:val="en-US"/>
        </w:rPr>
        <w:t>The wells are grouped in a single Facility</w:t>
      </w:r>
      <w:r w:rsidR="00D51AFA">
        <w:rPr>
          <w:lang w:val="en-US"/>
        </w:rPr>
        <w:t xml:space="preserve"> </w:t>
      </w:r>
      <w:r w:rsidRPr="00E17594">
        <w:rPr>
          <w:lang w:val="en-US"/>
        </w:rPr>
        <w:t>(or Installation or Structure, or etc)</w:t>
      </w:r>
    </w:p>
    <w:p w:rsidR="006E6FE3" w:rsidRPr="00E17594" w:rsidRDefault="006E6FE3" w:rsidP="006E6FE3">
      <w:pPr>
        <w:numPr>
          <w:ilvl w:val="0"/>
          <w:numId w:val="1"/>
        </w:numPr>
        <w:spacing w:after="0"/>
        <w:contextualSpacing/>
        <w:rPr>
          <w:lang w:val="en-US"/>
        </w:rPr>
      </w:pPr>
      <w:r w:rsidRPr="00E17594">
        <w:rPr>
          <w:lang w:val="en-US"/>
        </w:rPr>
        <w:t>The Facility reference point is at 60°N, 3°E, with elevation zero (</w:t>
      </w:r>
      <w:r>
        <w:rPr>
          <w:lang w:val="en-US"/>
        </w:rPr>
        <w:t xml:space="preserve">the physical description of the datum is irrelevant, but can be </w:t>
      </w:r>
      <w:r w:rsidRPr="00E17594">
        <w:rPr>
          <w:lang w:val="en-US"/>
        </w:rPr>
        <w:t xml:space="preserve">assumed to be </w:t>
      </w:r>
      <w:r>
        <w:rPr>
          <w:lang w:val="en-US"/>
        </w:rPr>
        <w:t xml:space="preserve">ellipsoid height, </w:t>
      </w:r>
      <w:r w:rsidRPr="00E17594">
        <w:rPr>
          <w:lang w:val="en-US"/>
        </w:rPr>
        <w:t>MSL or a</w:t>
      </w:r>
      <w:r>
        <w:rPr>
          <w:lang w:val="en-US"/>
        </w:rPr>
        <w:t xml:space="preserve"> </w:t>
      </w:r>
      <w:r w:rsidRPr="00E17594">
        <w:rPr>
          <w:lang w:val="en-US"/>
        </w:rPr>
        <w:t>national datum)</w:t>
      </w:r>
    </w:p>
    <w:p w:rsidR="006E6FE3" w:rsidRDefault="006E6FE3" w:rsidP="006E6FE3">
      <w:pPr>
        <w:numPr>
          <w:ilvl w:val="0"/>
          <w:numId w:val="1"/>
        </w:numPr>
        <w:spacing w:after="0"/>
        <w:contextualSpacing/>
        <w:rPr>
          <w:lang w:val="en-US"/>
        </w:rPr>
      </w:pPr>
      <w:r w:rsidRPr="00E17594">
        <w:rPr>
          <w:lang w:val="en-US"/>
        </w:rPr>
        <w:t xml:space="preserve">All well path coordinates are reported </w:t>
      </w:r>
      <w:r>
        <w:rPr>
          <w:lang w:val="en-US"/>
        </w:rPr>
        <w:t>in a local coordinate system</w:t>
      </w:r>
    </w:p>
    <w:p w:rsidR="006E6FE3" w:rsidRPr="00E17594" w:rsidRDefault="006E6FE3" w:rsidP="006E6FE3">
      <w:pPr>
        <w:numPr>
          <w:ilvl w:val="0"/>
          <w:numId w:val="1"/>
        </w:numPr>
        <w:spacing w:after="0"/>
        <w:contextualSpacing/>
        <w:rPr>
          <w:lang w:val="en-US"/>
        </w:rPr>
      </w:pPr>
      <w:r>
        <w:rPr>
          <w:lang w:val="en-US"/>
        </w:rPr>
        <w:t xml:space="preserve">The local coordinate system is aligned to UTM grid north and </w:t>
      </w:r>
      <w:r w:rsidR="003214FF">
        <w:rPr>
          <w:lang w:val="en-US"/>
        </w:rPr>
        <w:t>its origin (0N, 0E, 0 elevation</w:t>
      </w:r>
      <w:r>
        <w:rPr>
          <w:lang w:val="en-US"/>
        </w:rPr>
        <w:t xml:space="preserve">) is the Facility reference </w:t>
      </w:r>
      <w:r w:rsidRPr="00E17594">
        <w:rPr>
          <w:lang w:val="en-US"/>
        </w:rPr>
        <w:t>point</w:t>
      </w:r>
      <w:r>
        <w:rPr>
          <w:lang w:val="en-US"/>
        </w:rPr>
        <w:t xml:space="preserve"> </w:t>
      </w:r>
    </w:p>
    <w:p w:rsidR="006E6FE3" w:rsidRPr="00E17594" w:rsidRDefault="006E6FE3" w:rsidP="006E6FE3">
      <w:pPr>
        <w:numPr>
          <w:ilvl w:val="0"/>
          <w:numId w:val="1"/>
        </w:numPr>
        <w:spacing w:after="0"/>
        <w:contextualSpacing/>
        <w:rPr>
          <w:lang w:val="en-US"/>
        </w:rPr>
      </w:pPr>
      <w:r w:rsidRPr="00E17594">
        <w:rPr>
          <w:lang w:val="en-US"/>
        </w:rPr>
        <w:t>Each well path is defined by a single survey log, not a plan profile</w:t>
      </w:r>
    </w:p>
    <w:p w:rsidR="006E6FE3" w:rsidRPr="00E17594" w:rsidRDefault="006E6FE3" w:rsidP="006E6FE3">
      <w:pPr>
        <w:numPr>
          <w:ilvl w:val="0"/>
          <w:numId w:val="1"/>
        </w:numPr>
        <w:spacing w:after="0"/>
        <w:contextualSpacing/>
        <w:rPr>
          <w:lang w:val="en-US"/>
        </w:rPr>
      </w:pPr>
      <w:r w:rsidRPr="00E17594">
        <w:rPr>
          <w:lang w:val="en-US"/>
        </w:rPr>
        <w:t>All survey logs have 30m survey station interval</w:t>
      </w:r>
      <w:r>
        <w:rPr>
          <w:lang w:val="en-US"/>
        </w:rPr>
        <w:t>s,</w:t>
      </w:r>
      <w:r w:rsidRPr="00E17594">
        <w:rPr>
          <w:lang w:val="en-US"/>
        </w:rPr>
        <w:t xml:space="preserve"> through build, turn and tangent intervals</w:t>
      </w:r>
    </w:p>
    <w:p w:rsidR="006E6FE3" w:rsidRPr="00E17594" w:rsidRDefault="006E6FE3" w:rsidP="006E6FE3">
      <w:pPr>
        <w:numPr>
          <w:ilvl w:val="0"/>
          <w:numId w:val="1"/>
        </w:numPr>
        <w:spacing w:after="0"/>
        <w:contextualSpacing/>
        <w:rPr>
          <w:lang w:val="en-US"/>
        </w:rPr>
      </w:pPr>
      <w:r w:rsidRPr="00E17594">
        <w:rPr>
          <w:lang w:val="en-US"/>
        </w:rPr>
        <w:t>All survey logs have zero measured depth at Facility vertical datum</w:t>
      </w:r>
    </w:p>
    <w:p w:rsidR="006E6FE3" w:rsidRPr="00E17594" w:rsidRDefault="006E6FE3" w:rsidP="006E6FE3">
      <w:pPr>
        <w:numPr>
          <w:ilvl w:val="0"/>
          <w:numId w:val="1"/>
        </w:numPr>
        <w:spacing w:after="0"/>
        <w:contextualSpacing/>
        <w:rPr>
          <w:lang w:val="en-US"/>
        </w:rPr>
      </w:pPr>
      <w:r w:rsidRPr="00E17594">
        <w:rPr>
          <w:lang w:val="en-US"/>
        </w:rPr>
        <w:t>All survey log  azimuths are assumed to be referenced to Grid North, s</w:t>
      </w:r>
      <w:r>
        <w:rPr>
          <w:lang w:val="en-US"/>
        </w:rPr>
        <w:t xml:space="preserve">uch that </w:t>
      </w:r>
      <w:r w:rsidRPr="00E17594">
        <w:rPr>
          <w:lang w:val="en-US"/>
        </w:rPr>
        <w:t xml:space="preserve">two </w:t>
      </w:r>
      <w:r>
        <w:rPr>
          <w:lang w:val="en-US"/>
        </w:rPr>
        <w:t xml:space="preserve">distantly separated </w:t>
      </w:r>
      <w:r w:rsidRPr="00E17594">
        <w:rPr>
          <w:lang w:val="en-US"/>
        </w:rPr>
        <w:t xml:space="preserve">wells drilled on the same </w:t>
      </w:r>
      <w:r>
        <w:rPr>
          <w:lang w:val="en-US"/>
        </w:rPr>
        <w:t xml:space="preserve">grid referenced </w:t>
      </w:r>
      <w:r w:rsidRPr="00E17594">
        <w:rPr>
          <w:lang w:val="en-US"/>
        </w:rPr>
        <w:t xml:space="preserve">azimuth </w:t>
      </w:r>
      <w:r>
        <w:rPr>
          <w:lang w:val="en-US"/>
        </w:rPr>
        <w:t xml:space="preserve">will </w:t>
      </w:r>
      <w:r w:rsidRPr="00E17594">
        <w:rPr>
          <w:lang w:val="en-US"/>
        </w:rPr>
        <w:t>plot as parallel</w:t>
      </w:r>
      <w:r>
        <w:rPr>
          <w:lang w:val="en-US"/>
        </w:rPr>
        <w:t xml:space="preserve"> in </w:t>
      </w:r>
      <w:r w:rsidR="005846B9">
        <w:rPr>
          <w:lang w:val="en-US"/>
        </w:rPr>
        <w:t xml:space="preserve">a </w:t>
      </w:r>
      <w:r>
        <w:rPr>
          <w:lang w:val="en-US"/>
        </w:rPr>
        <w:t>plan view</w:t>
      </w:r>
    </w:p>
    <w:p w:rsidR="006E6FE3" w:rsidRPr="00E17594" w:rsidRDefault="006E6FE3" w:rsidP="006E6FE3">
      <w:pPr>
        <w:spacing w:after="0"/>
        <w:rPr>
          <w:b/>
          <w:lang w:val="en-US"/>
        </w:rPr>
      </w:pPr>
    </w:p>
    <w:p w:rsidR="006E6FE3" w:rsidRPr="00E17594" w:rsidRDefault="006E6FE3" w:rsidP="006E6FE3">
      <w:pPr>
        <w:spacing w:after="0"/>
        <w:rPr>
          <w:b/>
          <w:lang w:val="en-US"/>
        </w:rPr>
      </w:pPr>
      <w:r w:rsidRPr="00E17594">
        <w:rPr>
          <w:b/>
          <w:lang w:val="en-US"/>
        </w:rPr>
        <w:t>Position Uncertainty</w:t>
      </w:r>
    </w:p>
    <w:p w:rsidR="006E6FE3" w:rsidRPr="00E17594" w:rsidRDefault="006E6FE3" w:rsidP="006E6FE3">
      <w:pPr>
        <w:numPr>
          <w:ilvl w:val="0"/>
          <w:numId w:val="1"/>
        </w:numPr>
        <w:spacing w:after="0"/>
        <w:contextualSpacing/>
        <w:rPr>
          <w:lang w:val="en-US"/>
        </w:rPr>
      </w:pPr>
      <w:r w:rsidRPr="00E17594">
        <w:rPr>
          <w:lang w:val="en-US"/>
        </w:rPr>
        <w:t>All wells have the following</w:t>
      </w:r>
      <w:r>
        <w:rPr>
          <w:lang w:val="en-US"/>
        </w:rPr>
        <w:t xml:space="preserve"> reference</w:t>
      </w:r>
      <w:r w:rsidRPr="00E17594">
        <w:rPr>
          <w:lang w:val="en-US"/>
        </w:rPr>
        <w:t xml:space="preserve"> field parameters, applicable over the entire well path:</w:t>
      </w:r>
    </w:p>
    <w:p w:rsidR="006E6FE3" w:rsidRPr="00E17594" w:rsidRDefault="006E6FE3" w:rsidP="006E6FE3">
      <w:pPr>
        <w:numPr>
          <w:ilvl w:val="1"/>
          <w:numId w:val="1"/>
        </w:numPr>
        <w:spacing w:after="0"/>
        <w:contextualSpacing/>
        <w:rPr>
          <w:lang w:val="en-US"/>
        </w:rPr>
      </w:pPr>
      <w:r w:rsidRPr="00E17594">
        <w:rPr>
          <w:lang w:val="en-US"/>
        </w:rPr>
        <w:t>Declination: 0.00°</w:t>
      </w:r>
    </w:p>
    <w:p w:rsidR="006E6FE3" w:rsidRPr="00E17594" w:rsidRDefault="006E6FE3" w:rsidP="006E6FE3">
      <w:pPr>
        <w:numPr>
          <w:ilvl w:val="1"/>
          <w:numId w:val="1"/>
        </w:numPr>
        <w:spacing w:after="0"/>
        <w:contextualSpacing/>
        <w:rPr>
          <w:lang w:val="en-US"/>
        </w:rPr>
      </w:pPr>
      <w:r w:rsidRPr="00E17594">
        <w:rPr>
          <w:lang w:val="en-US"/>
        </w:rPr>
        <w:t>Dip: 70.00°</w:t>
      </w:r>
    </w:p>
    <w:p w:rsidR="006E6FE3" w:rsidRDefault="006E6FE3" w:rsidP="006E6FE3">
      <w:pPr>
        <w:numPr>
          <w:ilvl w:val="1"/>
          <w:numId w:val="1"/>
        </w:numPr>
        <w:spacing w:after="0"/>
        <w:contextualSpacing/>
        <w:rPr>
          <w:lang w:val="en-US"/>
        </w:rPr>
      </w:pPr>
      <w:r w:rsidRPr="00E17594">
        <w:rPr>
          <w:lang w:val="en-US"/>
        </w:rPr>
        <w:t>Field strength : 50000nT</w:t>
      </w:r>
    </w:p>
    <w:p w:rsidR="006E6FE3" w:rsidRPr="00E17594" w:rsidRDefault="006E6FE3" w:rsidP="006E6FE3">
      <w:pPr>
        <w:numPr>
          <w:ilvl w:val="1"/>
          <w:numId w:val="1"/>
        </w:numPr>
        <w:spacing w:after="0"/>
        <w:contextualSpacing/>
        <w:rPr>
          <w:lang w:val="en-US"/>
        </w:rPr>
      </w:pPr>
      <w:r>
        <w:rPr>
          <w:lang w:val="en-US"/>
        </w:rPr>
        <w:t>Gravity: 9.80665m/s</w:t>
      </w:r>
      <w:r w:rsidRPr="002C7968">
        <w:rPr>
          <w:sz w:val="20"/>
          <w:vertAlign w:val="superscript"/>
          <w:lang w:val="en-US"/>
        </w:rPr>
        <w:t>2</w:t>
      </w:r>
    </w:p>
    <w:p w:rsidR="006E6FE3" w:rsidRPr="00E17594" w:rsidRDefault="006E6FE3" w:rsidP="006E6FE3">
      <w:pPr>
        <w:numPr>
          <w:ilvl w:val="0"/>
          <w:numId w:val="1"/>
        </w:numPr>
        <w:spacing w:after="0"/>
        <w:contextualSpacing/>
        <w:rPr>
          <w:lang w:val="en-US"/>
        </w:rPr>
      </w:pPr>
      <w:r w:rsidRPr="00E17594">
        <w:rPr>
          <w:lang w:val="en-US"/>
        </w:rPr>
        <w:t>All surface location uncertainties are zero</w:t>
      </w:r>
    </w:p>
    <w:p w:rsidR="006E6FE3" w:rsidRPr="00E17594" w:rsidRDefault="006E6FE3" w:rsidP="006E6FE3">
      <w:pPr>
        <w:numPr>
          <w:ilvl w:val="0"/>
          <w:numId w:val="1"/>
        </w:numPr>
        <w:spacing w:after="0"/>
        <w:contextualSpacing/>
        <w:rPr>
          <w:lang w:val="en-US"/>
        </w:rPr>
      </w:pPr>
      <w:r w:rsidRPr="00E17594">
        <w:rPr>
          <w:lang w:val="en-US"/>
        </w:rPr>
        <w:t>Position uncertainty is calculated from zero measured depth</w:t>
      </w:r>
    </w:p>
    <w:p w:rsidR="006E6FE3" w:rsidRDefault="006E6FE3" w:rsidP="006E6FE3">
      <w:pPr>
        <w:numPr>
          <w:ilvl w:val="0"/>
          <w:numId w:val="1"/>
        </w:numPr>
        <w:spacing w:after="0"/>
        <w:contextualSpacing/>
        <w:rPr>
          <w:lang w:val="en-US"/>
        </w:rPr>
      </w:pPr>
      <w:r w:rsidRPr="00E17594">
        <w:rPr>
          <w:lang w:val="en-US"/>
        </w:rPr>
        <w:t>Positional uncertainty is calculated using the</w:t>
      </w:r>
      <w:r>
        <w:rPr>
          <w:lang w:val="en-US"/>
        </w:rPr>
        <w:t xml:space="preserve"> </w:t>
      </w:r>
      <w:r w:rsidRPr="00E17594">
        <w:rPr>
          <w:lang w:val="en-US"/>
        </w:rPr>
        <w:t>no bias terms version</w:t>
      </w:r>
      <w:r>
        <w:rPr>
          <w:lang w:val="en-US"/>
        </w:rPr>
        <w:t xml:space="preserve"> of the </w:t>
      </w:r>
      <w:r w:rsidR="00A21DDB">
        <w:rPr>
          <w:lang w:val="en-US"/>
        </w:rPr>
        <w:t>ISCWSA MWD rev4</w:t>
      </w:r>
      <w:r w:rsidRPr="00E17594">
        <w:rPr>
          <w:lang w:val="en-US"/>
        </w:rPr>
        <w:t xml:space="preserve"> basic model</w:t>
      </w:r>
      <w:r>
        <w:rPr>
          <w:lang w:val="en-US"/>
        </w:rPr>
        <w:t xml:space="preserve"> for fixed installations.</w:t>
      </w:r>
    </w:p>
    <w:p w:rsidR="006E6FE3" w:rsidRDefault="006E6FE3" w:rsidP="006E6FE3">
      <w:pPr>
        <w:numPr>
          <w:ilvl w:val="0"/>
          <w:numId w:val="1"/>
        </w:numPr>
        <w:spacing w:after="0"/>
        <w:contextualSpacing/>
        <w:rPr>
          <w:lang w:val="en-US"/>
        </w:rPr>
      </w:pPr>
      <w:r>
        <w:rPr>
          <w:lang w:val="en-US"/>
        </w:rPr>
        <w:t xml:space="preserve">Outputs are </w:t>
      </w:r>
      <w:r w:rsidRPr="00E17594">
        <w:rPr>
          <w:lang w:val="en-US"/>
        </w:rPr>
        <w:t xml:space="preserve">reported at 1 standard deviation, half axis, in the HLA </w:t>
      </w:r>
      <w:r w:rsidR="00672130">
        <w:rPr>
          <w:lang w:val="en-US"/>
        </w:rPr>
        <w:t xml:space="preserve">/ borehole axis </w:t>
      </w:r>
      <w:r w:rsidRPr="00E17594">
        <w:rPr>
          <w:lang w:val="en-US"/>
        </w:rPr>
        <w:t>frame of reference</w:t>
      </w:r>
      <w:r w:rsidR="00672130">
        <w:rPr>
          <w:lang w:val="en-US"/>
        </w:rPr>
        <w:t xml:space="preserve"> to be consistent with SPE 67616.</w:t>
      </w:r>
    </w:p>
    <w:p w:rsidR="006E6FE3" w:rsidRPr="00E17594" w:rsidRDefault="006E6FE3" w:rsidP="006E6FE3">
      <w:pPr>
        <w:spacing w:after="0"/>
        <w:contextualSpacing/>
        <w:rPr>
          <w:b/>
          <w:lang w:val="en-US"/>
        </w:rPr>
      </w:pPr>
    </w:p>
    <w:p w:rsidR="006E6FE3" w:rsidRDefault="006E6FE3" w:rsidP="006E6FE3">
      <w:pPr>
        <w:spacing w:after="0"/>
        <w:contextualSpacing/>
        <w:rPr>
          <w:b/>
          <w:lang w:val="en-US"/>
        </w:rPr>
      </w:pPr>
      <w:r w:rsidRPr="00E17594">
        <w:rPr>
          <w:b/>
          <w:lang w:val="en-US"/>
        </w:rPr>
        <w:t>Clearance scanning</w:t>
      </w:r>
    </w:p>
    <w:p w:rsidR="006E6FE3" w:rsidRPr="00E17594" w:rsidRDefault="006E6FE3" w:rsidP="006E6FE3">
      <w:pPr>
        <w:numPr>
          <w:ilvl w:val="0"/>
          <w:numId w:val="1"/>
        </w:numPr>
        <w:spacing w:after="0"/>
        <w:contextualSpacing/>
        <w:rPr>
          <w:lang w:val="en-US"/>
        </w:rPr>
      </w:pPr>
      <w:r w:rsidRPr="0018409E">
        <w:rPr>
          <w:lang w:val="en-US"/>
        </w:rPr>
        <w:t>Clearance distances are calculated along the line of 3D closest approach</w:t>
      </w:r>
    </w:p>
    <w:p w:rsidR="006E6FE3" w:rsidRPr="0018409E" w:rsidRDefault="006E6FE3" w:rsidP="006E6FE3">
      <w:pPr>
        <w:numPr>
          <w:ilvl w:val="0"/>
          <w:numId w:val="1"/>
        </w:numPr>
        <w:spacing w:after="0"/>
        <w:contextualSpacing/>
        <w:rPr>
          <w:lang w:val="en-US"/>
        </w:rPr>
      </w:pPr>
      <w:r w:rsidRPr="0018409E">
        <w:rPr>
          <w:lang w:val="en-US"/>
        </w:rPr>
        <w:t>When included, the diameters of the wells are:</w:t>
      </w:r>
    </w:p>
    <w:p w:rsidR="006E6FE3" w:rsidRPr="00E17594" w:rsidRDefault="006E6FE3" w:rsidP="006E6FE3">
      <w:pPr>
        <w:numPr>
          <w:ilvl w:val="1"/>
          <w:numId w:val="1"/>
        </w:numPr>
        <w:spacing w:after="0"/>
        <w:contextualSpacing/>
        <w:rPr>
          <w:lang w:val="en-US"/>
        </w:rPr>
      </w:pPr>
      <w:r w:rsidRPr="00E17594">
        <w:rPr>
          <w:lang w:val="en-US"/>
        </w:rPr>
        <w:t>Reference well, 36” from surface to TD</w:t>
      </w:r>
    </w:p>
    <w:p w:rsidR="006E6FE3" w:rsidRDefault="006E6FE3" w:rsidP="006E6FE3">
      <w:pPr>
        <w:numPr>
          <w:ilvl w:val="1"/>
          <w:numId w:val="1"/>
        </w:numPr>
        <w:spacing w:after="0"/>
        <w:contextualSpacing/>
        <w:rPr>
          <w:lang w:val="en-US"/>
        </w:rPr>
      </w:pPr>
      <w:r w:rsidRPr="00E17594">
        <w:rPr>
          <w:lang w:val="en-US"/>
        </w:rPr>
        <w:t>All offset wells, 24” from surface to TD</w:t>
      </w:r>
    </w:p>
    <w:p w:rsidR="00A82B85" w:rsidRDefault="00A82B85" w:rsidP="00A82B85">
      <w:pPr>
        <w:numPr>
          <w:ilvl w:val="0"/>
          <w:numId w:val="1"/>
        </w:numPr>
        <w:spacing w:after="0"/>
        <w:contextualSpacing/>
        <w:rPr>
          <w:lang w:val="en-US"/>
        </w:rPr>
      </w:pPr>
      <w:r>
        <w:rPr>
          <w:lang w:val="en-US"/>
        </w:rPr>
        <w:t>Uncertainty for clearance purposes between the reference wellpath and its sidetrack (Offset 10) is calculated using the current common practice of zeroing the uncertainty for both wells at the deepest common point (i.e. the kick-off point).</w:t>
      </w:r>
    </w:p>
    <w:p w:rsidR="00A82B85" w:rsidRDefault="00A82B85" w:rsidP="00A82B85">
      <w:pPr>
        <w:numPr>
          <w:ilvl w:val="0"/>
          <w:numId w:val="1"/>
        </w:numPr>
        <w:spacing w:after="0"/>
        <w:contextualSpacing/>
        <w:rPr>
          <w:lang w:val="en-US"/>
        </w:rPr>
      </w:pPr>
      <w:r>
        <w:rPr>
          <w:lang w:val="en-US"/>
        </w:rPr>
        <w:t xml:space="preserve">The ISCWSA </w:t>
      </w:r>
      <w:r w:rsidR="00E2448E">
        <w:rPr>
          <w:lang w:val="en-US"/>
        </w:rPr>
        <w:t xml:space="preserve">/ SPE WPTS </w:t>
      </w:r>
      <w:r>
        <w:rPr>
          <w:lang w:val="en-US"/>
        </w:rPr>
        <w:t>separation factor is calculated using the values as documented in SPE 1877073:</w:t>
      </w:r>
    </w:p>
    <w:p w:rsidR="00A82B85" w:rsidRDefault="00E2448E" w:rsidP="00A82B85">
      <w:pPr>
        <w:numPr>
          <w:ilvl w:val="1"/>
          <w:numId w:val="1"/>
        </w:numPr>
        <w:spacing w:after="0"/>
        <w:contextualSpacing/>
        <w:rPr>
          <w:lang w:val="en-US"/>
        </w:rPr>
      </w:pPr>
      <w:r>
        <w:rPr>
          <w:lang w:val="en-US"/>
        </w:rPr>
        <w:t>Surface margin, S</w:t>
      </w:r>
      <w:r w:rsidRPr="00E2448E">
        <w:rPr>
          <w:vertAlign w:val="subscript"/>
          <w:lang w:val="en-US"/>
        </w:rPr>
        <w:t>m</w:t>
      </w:r>
      <w:r>
        <w:rPr>
          <w:lang w:val="en-US"/>
        </w:rPr>
        <w:t>: 0.3m</w:t>
      </w:r>
    </w:p>
    <w:p w:rsidR="00E2448E" w:rsidRDefault="00E2448E" w:rsidP="00A82B85">
      <w:pPr>
        <w:numPr>
          <w:ilvl w:val="1"/>
          <w:numId w:val="1"/>
        </w:numPr>
        <w:spacing w:after="0"/>
        <w:contextualSpacing/>
        <w:rPr>
          <w:lang w:val="en-US"/>
        </w:rPr>
      </w:pPr>
      <w:r>
        <w:rPr>
          <w:lang w:val="en-US"/>
        </w:rPr>
        <w:lastRenderedPageBreak/>
        <w:t>Scaling factor, k: 3.5</w:t>
      </w:r>
    </w:p>
    <w:p w:rsidR="00E2448E" w:rsidRPr="00E2448E" w:rsidRDefault="00E2448E" w:rsidP="00E2448E">
      <w:pPr>
        <w:numPr>
          <w:ilvl w:val="1"/>
          <w:numId w:val="1"/>
        </w:numPr>
        <w:spacing w:after="0"/>
        <w:contextualSpacing/>
        <w:rPr>
          <w:lang w:val="en-US"/>
        </w:rPr>
      </w:pPr>
      <w:r>
        <w:rPr>
          <w:lang w:val="en-US"/>
        </w:rPr>
        <w:t>Project ahead uncertainty, σ</w:t>
      </w:r>
      <w:r>
        <w:rPr>
          <w:vertAlign w:val="subscript"/>
          <w:lang w:val="en-US"/>
        </w:rPr>
        <w:t>pa</w:t>
      </w:r>
      <w:r>
        <w:rPr>
          <w:lang w:val="en-US"/>
        </w:rPr>
        <w:t>: 0.5m</w:t>
      </w:r>
    </w:p>
    <w:p w:rsidR="00FD6ED6" w:rsidRDefault="00FD6ED6" w:rsidP="006E6FE3">
      <w:pPr>
        <w:rPr>
          <w:rFonts w:asciiTheme="majorHAnsi" w:hAnsiTheme="majorHAnsi"/>
          <w:b/>
          <w:color w:val="0070C0"/>
          <w:sz w:val="24"/>
          <w:szCs w:val="24"/>
          <w:lang w:val="en-US"/>
        </w:rPr>
      </w:pPr>
    </w:p>
    <w:p w:rsidR="00FD6ED6" w:rsidRDefault="00FD6ED6" w:rsidP="006E6FE3">
      <w:pPr>
        <w:rPr>
          <w:rFonts w:asciiTheme="majorHAnsi" w:hAnsiTheme="majorHAnsi"/>
          <w:b/>
          <w:color w:val="0070C0"/>
          <w:sz w:val="24"/>
          <w:szCs w:val="24"/>
          <w:lang w:val="en-US"/>
        </w:rPr>
      </w:pPr>
    </w:p>
    <w:p w:rsidR="006E6FE3" w:rsidRDefault="006E6FE3" w:rsidP="006E6FE3">
      <w:pPr>
        <w:rPr>
          <w:rFonts w:asciiTheme="majorHAnsi" w:hAnsiTheme="majorHAnsi"/>
          <w:b/>
          <w:color w:val="0070C0"/>
          <w:sz w:val="24"/>
          <w:szCs w:val="24"/>
          <w:lang w:val="en-US"/>
        </w:rPr>
      </w:pPr>
      <w:r>
        <w:rPr>
          <w:rFonts w:asciiTheme="majorHAnsi" w:hAnsiTheme="majorHAnsi"/>
          <w:b/>
          <w:color w:val="0070C0"/>
          <w:sz w:val="24"/>
          <w:szCs w:val="24"/>
          <w:lang w:val="en-US"/>
        </w:rPr>
        <w:t xml:space="preserve">Wellpath </w:t>
      </w:r>
      <w:r w:rsidRPr="006E2F11">
        <w:rPr>
          <w:rFonts w:asciiTheme="majorHAnsi" w:hAnsiTheme="majorHAnsi"/>
          <w:b/>
          <w:color w:val="0070C0"/>
          <w:sz w:val="24"/>
          <w:szCs w:val="24"/>
          <w:lang w:val="en-US"/>
        </w:rPr>
        <w:t>Listing</w:t>
      </w:r>
      <w:r>
        <w:rPr>
          <w:rFonts w:asciiTheme="majorHAnsi" w:hAnsiTheme="majorHAnsi"/>
          <w:b/>
          <w:color w:val="0070C0"/>
          <w:sz w:val="24"/>
          <w:szCs w:val="24"/>
          <w:lang w:val="en-US"/>
        </w:rPr>
        <w:t>s</w:t>
      </w:r>
    </w:p>
    <w:p w:rsidR="006E6FE3" w:rsidRDefault="006E6FE3" w:rsidP="006E6FE3">
      <w:pPr>
        <w:jc w:val="center"/>
        <w:rPr>
          <w:lang w:val="en-US"/>
        </w:rPr>
      </w:pPr>
    </w:p>
    <w:p w:rsidR="006E6FE3" w:rsidRDefault="006E6FE3" w:rsidP="00861310">
      <w:pPr>
        <w:jc w:val="center"/>
        <w:rPr>
          <w:lang w:val="en-US"/>
        </w:rPr>
      </w:pPr>
    </w:p>
    <w:p w:rsidR="001D59D6" w:rsidRDefault="00E2448E" w:rsidP="00861310">
      <w:pPr>
        <w:jc w:val="center"/>
        <w:rPr>
          <w:lang w:val="en-US"/>
        </w:rPr>
      </w:pPr>
      <w:r>
        <w:rPr>
          <w:lang w:val="en-US"/>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12" ShapeID="_x0000_i1025" DrawAspect="Icon" ObjectID="_1556532949" r:id="rId12"/>
        </w:object>
      </w:r>
    </w:p>
    <w:p w:rsidR="005A5536" w:rsidRPr="009F2514" w:rsidRDefault="005A5536" w:rsidP="00861310">
      <w:pPr>
        <w:jc w:val="center"/>
        <w:rPr>
          <w:lang w:val="en-US"/>
        </w:rPr>
      </w:pPr>
    </w:p>
    <w:sectPr w:rsidR="005A5536" w:rsidRPr="009F251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FBE" w:rsidRDefault="005B6FBE" w:rsidP="006A7423">
      <w:pPr>
        <w:spacing w:after="0" w:line="240" w:lineRule="auto"/>
      </w:pPr>
      <w:r>
        <w:separator/>
      </w:r>
    </w:p>
  </w:endnote>
  <w:endnote w:type="continuationSeparator" w:id="0">
    <w:p w:rsidR="005B6FBE" w:rsidRDefault="005B6FBE" w:rsidP="006A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281615"/>
      <w:docPartObj>
        <w:docPartGallery w:val="Page Numbers (Bottom of Page)"/>
        <w:docPartUnique/>
      </w:docPartObj>
    </w:sdtPr>
    <w:sdtEndPr>
      <w:rPr>
        <w:noProof/>
      </w:rPr>
    </w:sdtEndPr>
    <w:sdtContent>
      <w:p w:rsidR="00712F1D" w:rsidRDefault="00712F1D">
        <w:pPr>
          <w:pStyle w:val="Footer"/>
          <w:jc w:val="center"/>
        </w:pPr>
        <w:r>
          <w:fldChar w:fldCharType="begin"/>
        </w:r>
        <w:r>
          <w:instrText xml:space="preserve"> PAGE   \* MERGEFORMAT </w:instrText>
        </w:r>
        <w:r>
          <w:fldChar w:fldCharType="separate"/>
        </w:r>
        <w:r w:rsidR="00FD6ED6">
          <w:rPr>
            <w:noProof/>
          </w:rPr>
          <w:t>1</w:t>
        </w:r>
        <w:r>
          <w:rPr>
            <w:noProof/>
          </w:rPr>
          <w:fldChar w:fldCharType="end"/>
        </w:r>
      </w:p>
    </w:sdtContent>
  </w:sdt>
  <w:p w:rsidR="00712F1D" w:rsidRDefault="0071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FBE" w:rsidRDefault="005B6FBE" w:rsidP="006A7423">
      <w:pPr>
        <w:spacing w:after="0" w:line="240" w:lineRule="auto"/>
      </w:pPr>
      <w:r>
        <w:separator/>
      </w:r>
    </w:p>
  </w:footnote>
  <w:footnote w:type="continuationSeparator" w:id="0">
    <w:p w:rsidR="005B6FBE" w:rsidRDefault="005B6FBE" w:rsidP="006A7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F1D" w:rsidRDefault="00712F1D" w:rsidP="006A7423">
    <w:pPr>
      <w:pStyle w:val="Heading2"/>
      <w:jc w:val="right"/>
    </w:pPr>
    <w:r>
      <w:t>ISCWSA, Collision Avoidance Workgroup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D28D1"/>
    <w:multiLevelType w:val="hybridMultilevel"/>
    <w:tmpl w:val="24AEB372"/>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
    <w:nsid w:val="5C4F7CD5"/>
    <w:multiLevelType w:val="hybridMultilevel"/>
    <w:tmpl w:val="6472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34"/>
    <w:rsid w:val="00002240"/>
    <w:rsid w:val="0000446F"/>
    <w:rsid w:val="0001080A"/>
    <w:rsid w:val="00032C94"/>
    <w:rsid w:val="0003403A"/>
    <w:rsid w:val="00061FDE"/>
    <w:rsid w:val="000661EB"/>
    <w:rsid w:val="000856E1"/>
    <w:rsid w:val="00094D38"/>
    <w:rsid w:val="000A258E"/>
    <w:rsid w:val="000A663E"/>
    <w:rsid w:val="000B0ACE"/>
    <w:rsid w:val="000D459C"/>
    <w:rsid w:val="000E0234"/>
    <w:rsid w:val="0010749D"/>
    <w:rsid w:val="001517C0"/>
    <w:rsid w:val="00152A3A"/>
    <w:rsid w:val="00154756"/>
    <w:rsid w:val="0016230D"/>
    <w:rsid w:val="00171752"/>
    <w:rsid w:val="0018409E"/>
    <w:rsid w:val="001860F0"/>
    <w:rsid w:val="001A59AF"/>
    <w:rsid w:val="001B52FB"/>
    <w:rsid w:val="001D45BC"/>
    <w:rsid w:val="001D59D6"/>
    <w:rsid w:val="00213908"/>
    <w:rsid w:val="00213C6F"/>
    <w:rsid w:val="00214430"/>
    <w:rsid w:val="00220CA8"/>
    <w:rsid w:val="00242422"/>
    <w:rsid w:val="00244304"/>
    <w:rsid w:val="00247324"/>
    <w:rsid w:val="0026290F"/>
    <w:rsid w:val="00265C79"/>
    <w:rsid w:val="0026702E"/>
    <w:rsid w:val="00295054"/>
    <w:rsid w:val="002C0090"/>
    <w:rsid w:val="002C7968"/>
    <w:rsid w:val="002D213E"/>
    <w:rsid w:val="002F554D"/>
    <w:rsid w:val="002F66E9"/>
    <w:rsid w:val="00306CC7"/>
    <w:rsid w:val="003214FF"/>
    <w:rsid w:val="00325FA9"/>
    <w:rsid w:val="00343BFB"/>
    <w:rsid w:val="00365C53"/>
    <w:rsid w:val="00390618"/>
    <w:rsid w:val="003B1917"/>
    <w:rsid w:val="003B562D"/>
    <w:rsid w:val="003C6765"/>
    <w:rsid w:val="003D70DF"/>
    <w:rsid w:val="003E2E2F"/>
    <w:rsid w:val="003E7E2F"/>
    <w:rsid w:val="003F7895"/>
    <w:rsid w:val="0047427D"/>
    <w:rsid w:val="00490FB7"/>
    <w:rsid w:val="00491F38"/>
    <w:rsid w:val="004926DE"/>
    <w:rsid w:val="004B29B8"/>
    <w:rsid w:val="004E5869"/>
    <w:rsid w:val="005042FB"/>
    <w:rsid w:val="0050595F"/>
    <w:rsid w:val="00511BCE"/>
    <w:rsid w:val="0051223D"/>
    <w:rsid w:val="00523A7B"/>
    <w:rsid w:val="005302A9"/>
    <w:rsid w:val="005368E1"/>
    <w:rsid w:val="00550975"/>
    <w:rsid w:val="00552611"/>
    <w:rsid w:val="00562782"/>
    <w:rsid w:val="00581CCF"/>
    <w:rsid w:val="005846B9"/>
    <w:rsid w:val="00597A96"/>
    <w:rsid w:val="005A5536"/>
    <w:rsid w:val="005B0065"/>
    <w:rsid w:val="005B3C16"/>
    <w:rsid w:val="005B62DF"/>
    <w:rsid w:val="005B6FBE"/>
    <w:rsid w:val="005C19D6"/>
    <w:rsid w:val="005D5A3B"/>
    <w:rsid w:val="005D6BCE"/>
    <w:rsid w:val="005D7A23"/>
    <w:rsid w:val="005F3C92"/>
    <w:rsid w:val="006132F2"/>
    <w:rsid w:val="006165DD"/>
    <w:rsid w:val="00622A0B"/>
    <w:rsid w:val="0063339A"/>
    <w:rsid w:val="0063656A"/>
    <w:rsid w:val="0064200E"/>
    <w:rsid w:val="00644FFB"/>
    <w:rsid w:val="00672130"/>
    <w:rsid w:val="006853CA"/>
    <w:rsid w:val="006921F4"/>
    <w:rsid w:val="006A7423"/>
    <w:rsid w:val="006B10A2"/>
    <w:rsid w:val="006B1776"/>
    <w:rsid w:val="006E2F11"/>
    <w:rsid w:val="006E6FE3"/>
    <w:rsid w:val="006F6F5A"/>
    <w:rsid w:val="00707F3E"/>
    <w:rsid w:val="00712F1D"/>
    <w:rsid w:val="0071678F"/>
    <w:rsid w:val="00720330"/>
    <w:rsid w:val="00725AF4"/>
    <w:rsid w:val="007326D4"/>
    <w:rsid w:val="00737F03"/>
    <w:rsid w:val="00740D22"/>
    <w:rsid w:val="00753C79"/>
    <w:rsid w:val="007628C3"/>
    <w:rsid w:val="0078062B"/>
    <w:rsid w:val="0079106F"/>
    <w:rsid w:val="007A6F1D"/>
    <w:rsid w:val="007B08B4"/>
    <w:rsid w:val="007D3B59"/>
    <w:rsid w:val="007E0A3C"/>
    <w:rsid w:val="007E1E15"/>
    <w:rsid w:val="007E550B"/>
    <w:rsid w:val="00806C84"/>
    <w:rsid w:val="00836525"/>
    <w:rsid w:val="00860A5C"/>
    <w:rsid w:val="00861310"/>
    <w:rsid w:val="00877E04"/>
    <w:rsid w:val="00880722"/>
    <w:rsid w:val="008A2F0C"/>
    <w:rsid w:val="008C487E"/>
    <w:rsid w:val="008E5318"/>
    <w:rsid w:val="008F4DC3"/>
    <w:rsid w:val="00911624"/>
    <w:rsid w:val="009231D9"/>
    <w:rsid w:val="00940E50"/>
    <w:rsid w:val="00944E0B"/>
    <w:rsid w:val="009473F5"/>
    <w:rsid w:val="00950CE5"/>
    <w:rsid w:val="0095234B"/>
    <w:rsid w:val="009564C9"/>
    <w:rsid w:val="00956EDB"/>
    <w:rsid w:val="009973A2"/>
    <w:rsid w:val="009A3926"/>
    <w:rsid w:val="009B1327"/>
    <w:rsid w:val="009E51D7"/>
    <w:rsid w:val="009F2514"/>
    <w:rsid w:val="009F37A6"/>
    <w:rsid w:val="00A17167"/>
    <w:rsid w:val="00A21DDB"/>
    <w:rsid w:val="00A253B7"/>
    <w:rsid w:val="00A42B4D"/>
    <w:rsid w:val="00A60686"/>
    <w:rsid w:val="00A64BF2"/>
    <w:rsid w:val="00A73FEA"/>
    <w:rsid w:val="00A82B85"/>
    <w:rsid w:val="00A8418D"/>
    <w:rsid w:val="00AC4242"/>
    <w:rsid w:val="00AC7152"/>
    <w:rsid w:val="00AE17A7"/>
    <w:rsid w:val="00B23E35"/>
    <w:rsid w:val="00B31C23"/>
    <w:rsid w:val="00B37008"/>
    <w:rsid w:val="00B401A6"/>
    <w:rsid w:val="00B43E1E"/>
    <w:rsid w:val="00B53A52"/>
    <w:rsid w:val="00B61E27"/>
    <w:rsid w:val="00BB230C"/>
    <w:rsid w:val="00BB76A1"/>
    <w:rsid w:val="00BB77B0"/>
    <w:rsid w:val="00BD0A94"/>
    <w:rsid w:val="00BD5152"/>
    <w:rsid w:val="00BE3D44"/>
    <w:rsid w:val="00C05FC3"/>
    <w:rsid w:val="00C100E8"/>
    <w:rsid w:val="00C122CE"/>
    <w:rsid w:val="00C231A7"/>
    <w:rsid w:val="00C231B8"/>
    <w:rsid w:val="00C428A3"/>
    <w:rsid w:val="00C46A22"/>
    <w:rsid w:val="00C563B3"/>
    <w:rsid w:val="00C7015D"/>
    <w:rsid w:val="00C74101"/>
    <w:rsid w:val="00C81216"/>
    <w:rsid w:val="00CA035A"/>
    <w:rsid w:val="00CA4A75"/>
    <w:rsid w:val="00CA4E1B"/>
    <w:rsid w:val="00CB6A14"/>
    <w:rsid w:val="00CB792A"/>
    <w:rsid w:val="00CB7A8C"/>
    <w:rsid w:val="00CC2174"/>
    <w:rsid w:val="00CC3643"/>
    <w:rsid w:val="00CC6DB8"/>
    <w:rsid w:val="00CD1599"/>
    <w:rsid w:val="00CE6375"/>
    <w:rsid w:val="00CE7BE6"/>
    <w:rsid w:val="00D12609"/>
    <w:rsid w:val="00D223DF"/>
    <w:rsid w:val="00D27C02"/>
    <w:rsid w:val="00D32823"/>
    <w:rsid w:val="00D51AFA"/>
    <w:rsid w:val="00D5215F"/>
    <w:rsid w:val="00D55F44"/>
    <w:rsid w:val="00D62B01"/>
    <w:rsid w:val="00D64830"/>
    <w:rsid w:val="00D66243"/>
    <w:rsid w:val="00D74C37"/>
    <w:rsid w:val="00D76362"/>
    <w:rsid w:val="00D76491"/>
    <w:rsid w:val="00D846A4"/>
    <w:rsid w:val="00DA22AB"/>
    <w:rsid w:val="00DA2827"/>
    <w:rsid w:val="00DA6905"/>
    <w:rsid w:val="00DD1371"/>
    <w:rsid w:val="00DD6AF2"/>
    <w:rsid w:val="00DD6D45"/>
    <w:rsid w:val="00DE4E7C"/>
    <w:rsid w:val="00E00D6C"/>
    <w:rsid w:val="00E17594"/>
    <w:rsid w:val="00E2448E"/>
    <w:rsid w:val="00E31FED"/>
    <w:rsid w:val="00E655C5"/>
    <w:rsid w:val="00E81810"/>
    <w:rsid w:val="00E90650"/>
    <w:rsid w:val="00E91236"/>
    <w:rsid w:val="00E94B20"/>
    <w:rsid w:val="00EA0077"/>
    <w:rsid w:val="00EA386D"/>
    <w:rsid w:val="00EA676C"/>
    <w:rsid w:val="00EB3763"/>
    <w:rsid w:val="00ED1F95"/>
    <w:rsid w:val="00ED4C1A"/>
    <w:rsid w:val="00F11FB9"/>
    <w:rsid w:val="00F13BF6"/>
    <w:rsid w:val="00F259C4"/>
    <w:rsid w:val="00F4455C"/>
    <w:rsid w:val="00F543D1"/>
    <w:rsid w:val="00F602A8"/>
    <w:rsid w:val="00F66B8C"/>
    <w:rsid w:val="00F77433"/>
    <w:rsid w:val="00F807C2"/>
    <w:rsid w:val="00F95597"/>
    <w:rsid w:val="00FA00A7"/>
    <w:rsid w:val="00FA69D8"/>
    <w:rsid w:val="00FC2EC8"/>
    <w:rsid w:val="00FD00AF"/>
    <w:rsid w:val="00FD15B4"/>
    <w:rsid w:val="00FD5439"/>
    <w:rsid w:val="00FD6ED6"/>
    <w:rsid w:val="00FD78F5"/>
    <w:rsid w:val="00FE16A1"/>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0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2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34"/>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0E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0234"/>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0E0234"/>
    <w:pPr>
      <w:ind w:left="720"/>
      <w:contextualSpacing/>
    </w:pPr>
  </w:style>
  <w:style w:type="paragraph" w:styleId="Header">
    <w:name w:val="header"/>
    <w:basedOn w:val="Normal"/>
    <w:link w:val="HeaderChar"/>
    <w:uiPriority w:val="99"/>
    <w:unhideWhenUsed/>
    <w:rsid w:val="006A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423"/>
    <w:rPr>
      <w:lang w:val="en-GB"/>
    </w:rPr>
  </w:style>
  <w:style w:type="paragraph" w:styleId="Footer">
    <w:name w:val="footer"/>
    <w:basedOn w:val="Normal"/>
    <w:link w:val="FooterChar"/>
    <w:uiPriority w:val="99"/>
    <w:unhideWhenUsed/>
    <w:rsid w:val="006A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423"/>
    <w:rPr>
      <w:lang w:val="en-GB"/>
    </w:rPr>
  </w:style>
  <w:style w:type="character" w:customStyle="1" w:styleId="Heading3Char">
    <w:name w:val="Heading 3 Char"/>
    <w:basedOn w:val="DefaultParagraphFont"/>
    <w:link w:val="Heading3"/>
    <w:uiPriority w:val="9"/>
    <w:rsid w:val="00242422"/>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C428A3"/>
    <w:rPr>
      <w:color w:val="0000FF" w:themeColor="hyperlink"/>
      <w:u w:val="single"/>
    </w:rPr>
  </w:style>
  <w:style w:type="paragraph" w:styleId="BalloonText">
    <w:name w:val="Balloon Text"/>
    <w:basedOn w:val="Normal"/>
    <w:link w:val="BalloonTextChar"/>
    <w:uiPriority w:val="99"/>
    <w:semiHidden/>
    <w:unhideWhenUsed/>
    <w:rsid w:val="00D32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23"/>
    <w:rPr>
      <w:rFonts w:ascii="Tahoma" w:hAnsi="Tahoma" w:cs="Tahoma"/>
      <w:sz w:val="16"/>
      <w:szCs w:val="16"/>
      <w:lang w:val="en-GB"/>
    </w:rPr>
  </w:style>
  <w:style w:type="character" w:styleId="FollowedHyperlink">
    <w:name w:val="FollowedHyperlink"/>
    <w:basedOn w:val="DefaultParagraphFont"/>
    <w:uiPriority w:val="99"/>
    <w:semiHidden/>
    <w:unhideWhenUsed/>
    <w:rsid w:val="00622A0B"/>
    <w:rPr>
      <w:color w:val="800080" w:themeColor="followedHyperlink"/>
      <w:u w:val="single"/>
    </w:rPr>
  </w:style>
  <w:style w:type="table" w:styleId="LightList-Accent3">
    <w:name w:val="Light List Accent 3"/>
    <w:basedOn w:val="TableNormal"/>
    <w:uiPriority w:val="61"/>
    <w:rsid w:val="00BE3D44"/>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BE3D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0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2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34"/>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0E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0234"/>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0E0234"/>
    <w:pPr>
      <w:ind w:left="720"/>
      <w:contextualSpacing/>
    </w:pPr>
  </w:style>
  <w:style w:type="paragraph" w:styleId="Header">
    <w:name w:val="header"/>
    <w:basedOn w:val="Normal"/>
    <w:link w:val="HeaderChar"/>
    <w:uiPriority w:val="99"/>
    <w:unhideWhenUsed/>
    <w:rsid w:val="006A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423"/>
    <w:rPr>
      <w:lang w:val="en-GB"/>
    </w:rPr>
  </w:style>
  <w:style w:type="paragraph" w:styleId="Footer">
    <w:name w:val="footer"/>
    <w:basedOn w:val="Normal"/>
    <w:link w:val="FooterChar"/>
    <w:uiPriority w:val="99"/>
    <w:unhideWhenUsed/>
    <w:rsid w:val="006A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423"/>
    <w:rPr>
      <w:lang w:val="en-GB"/>
    </w:rPr>
  </w:style>
  <w:style w:type="character" w:customStyle="1" w:styleId="Heading3Char">
    <w:name w:val="Heading 3 Char"/>
    <w:basedOn w:val="DefaultParagraphFont"/>
    <w:link w:val="Heading3"/>
    <w:uiPriority w:val="9"/>
    <w:rsid w:val="00242422"/>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C428A3"/>
    <w:rPr>
      <w:color w:val="0000FF" w:themeColor="hyperlink"/>
      <w:u w:val="single"/>
    </w:rPr>
  </w:style>
  <w:style w:type="paragraph" w:styleId="BalloonText">
    <w:name w:val="Balloon Text"/>
    <w:basedOn w:val="Normal"/>
    <w:link w:val="BalloonTextChar"/>
    <w:uiPriority w:val="99"/>
    <w:semiHidden/>
    <w:unhideWhenUsed/>
    <w:rsid w:val="00D32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23"/>
    <w:rPr>
      <w:rFonts w:ascii="Tahoma" w:hAnsi="Tahoma" w:cs="Tahoma"/>
      <w:sz w:val="16"/>
      <w:szCs w:val="16"/>
      <w:lang w:val="en-GB"/>
    </w:rPr>
  </w:style>
  <w:style w:type="character" w:styleId="FollowedHyperlink">
    <w:name w:val="FollowedHyperlink"/>
    <w:basedOn w:val="DefaultParagraphFont"/>
    <w:uiPriority w:val="99"/>
    <w:semiHidden/>
    <w:unhideWhenUsed/>
    <w:rsid w:val="00622A0B"/>
    <w:rPr>
      <w:color w:val="800080" w:themeColor="followedHyperlink"/>
      <w:u w:val="single"/>
    </w:rPr>
  </w:style>
  <w:style w:type="table" w:styleId="LightList-Accent3">
    <w:name w:val="Light List Accent 3"/>
    <w:basedOn w:val="TableNormal"/>
    <w:uiPriority w:val="61"/>
    <w:rsid w:val="00BE3D44"/>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BE3D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6616">
      <w:bodyDiv w:val="1"/>
      <w:marLeft w:val="0"/>
      <w:marRight w:val="0"/>
      <w:marTop w:val="0"/>
      <w:marBottom w:val="0"/>
      <w:divBdr>
        <w:top w:val="none" w:sz="0" w:space="0" w:color="auto"/>
        <w:left w:val="none" w:sz="0" w:space="0" w:color="auto"/>
        <w:bottom w:val="none" w:sz="0" w:space="0" w:color="auto"/>
        <w:right w:val="none" w:sz="0" w:space="0" w:color="auto"/>
      </w:divBdr>
    </w:div>
    <w:div w:id="156192557">
      <w:bodyDiv w:val="1"/>
      <w:marLeft w:val="0"/>
      <w:marRight w:val="0"/>
      <w:marTop w:val="0"/>
      <w:marBottom w:val="0"/>
      <w:divBdr>
        <w:top w:val="none" w:sz="0" w:space="0" w:color="auto"/>
        <w:left w:val="none" w:sz="0" w:space="0" w:color="auto"/>
        <w:bottom w:val="none" w:sz="0" w:space="0" w:color="auto"/>
        <w:right w:val="none" w:sz="0" w:space="0" w:color="auto"/>
      </w:divBdr>
    </w:div>
    <w:div w:id="272398382">
      <w:bodyDiv w:val="1"/>
      <w:marLeft w:val="0"/>
      <w:marRight w:val="0"/>
      <w:marTop w:val="0"/>
      <w:marBottom w:val="0"/>
      <w:divBdr>
        <w:top w:val="none" w:sz="0" w:space="0" w:color="auto"/>
        <w:left w:val="none" w:sz="0" w:space="0" w:color="auto"/>
        <w:bottom w:val="none" w:sz="0" w:space="0" w:color="auto"/>
        <w:right w:val="none" w:sz="0" w:space="0" w:color="auto"/>
      </w:divBdr>
    </w:div>
    <w:div w:id="311258937">
      <w:bodyDiv w:val="1"/>
      <w:marLeft w:val="0"/>
      <w:marRight w:val="0"/>
      <w:marTop w:val="0"/>
      <w:marBottom w:val="0"/>
      <w:divBdr>
        <w:top w:val="none" w:sz="0" w:space="0" w:color="auto"/>
        <w:left w:val="none" w:sz="0" w:space="0" w:color="auto"/>
        <w:bottom w:val="none" w:sz="0" w:space="0" w:color="auto"/>
        <w:right w:val="none" w:sz="0" w:space="0" w:color="auto"/>
      </w:divBdr>
    </w:div>
    <w:div w:id="352616016">
      <w:bodyDiv w:val="1"/>
      <w:marLeft w:val="0"/>
      <w:marRight w:val="0"/>
      <w:marTop w:val="0"/>
      <w:marBottom w:val="0"/>
      <w:divBdr>
        <w:top w:val="none" w:sz="0" w:space="0" w:color="auto"/>
        <w:left w:val="none" w:sz="0" w:space="0" w:color="auto"/>
        <w:bottom w:val="none" w:sz="0" w:space="0" w:color="auto"/>
        <w:right w:val="none" w:sz="0" w:space="0" w:color="auto"/>
      </w:divBdr>
    </w:div>
    <w:div w:id="357968232">
      <w:bodyDiv w:val="1"/>
      <w:marLeft w:val="0"/>
      <w:marRight w:val="0"/>
      <w:marTop w:val="0"/>
      <w:marBottom w:val="0"/>
      <w:divBdr>
        <w:top w:val="none" w:sz="0" w:space="0" w:color="auto"/>
        <w:left w:val="none" w:sz="0" w:space="0" w:color="auto"/>
        <w:bottom w:val="none" w:sz="0" w:space="0" w:color="auto"/>
        <w:right w:val="none" w:sz="0" w:space="0" w:color="auto"/>
      </w:divBdr>
    </w:div>
    <w:div w:id="437261381">
      <w:bodyDiv w:val="1"/>
      <w:marLeft w:val="0"/>
      <w:marRight w:val="0"/>
      <w:marTop w:val="0"/>
      <w:marBottom w:val="0"/>
      <w:divBdr>
        <w:top w:val="none" w:sz="0" w:space="0" w:color="auto"/>
        <w:left w:val="none" w:sz="0" w:space="0" w:color="auto"/>
        <w:bottom w:val="none" w:sz="0" w:space="0" w:color="auto"/>
        <w:right w:val="none" w:sz="0" w:space="0" w:color="auto"/>
      </w:divBdr>
    </w:div>
    <w:div w:id="470751606">
      <w:bodyDiv w:val="1"/>
      <w:marLeft w:val="0"/>
      <w:marRight w:val="0"/>
      <w:marTop w:val="0"/>
      <w:marBottom w:val="0"/>
      <w:divBdr>
        <w:top w:val="none" w:sz="0" w:space="0" w:color="auto"/>
        <w:left w:val="none" w:sz="0" w:space="0" w:color="auto"/>
        <w:bottom w:val="none" w:sz="0" w:space="0" w:color="auto"/>
        <w:right w:val="none" w:sz="0" w:space="0" w:color="auto"/>
      </w:divBdr>
    </w:div>
    <w:div w:id="568881759">
      <w:bodyDiv w:val="1"/>
      <w:marLeft w:val="0"/>
      <w:marRight w:val="0"/>
      <w:marTop w:val="0"/>
      <w:marBottom w:val="0"/>
      <w:divBdr>
        <w:top w:val="none" w:sz="0" w:space="0" w:color="auto"/>
        <w:left w:val="none" w:sz="0" w:space="0" w:color="auto"/>
        <w:bottom w:val="none" w:sz="0" w:space="0" w:color="auto"/>
        <w:right w:val="none" w:sz="0" w:space="0" w:color="auto"/>
      </w:divBdr>
    </w:div>
    <w:div w:id="584650145">
      <w:bodyDiv w:val="1"/>
      <w:marLeft w:val="0"/>
      <w:marRight w:val="0"/>
      <w:marTop w:val="0"/>
      <w:marBottom w:val="0"/>
      <w:divBdr>
        <w:top w:val="none" w:sz="0" w:space="0" w:color="auto"/>
        <w:left w:val="none" w:sz="0" w:space="0" w:color="auto"/>
        <w:bottom w:val="none" w:sz="0" w:space="0" w:color="auto"/>
        <w:right w:val="none" w:sz="0" w:space="0" w:color="auto"/>
      </w:divBdr>
    </w:div>
    <w:div w:id="654989408">
      <w:bodyDiv w:val="1"/>
      <w:marLeft w:val="0"/>
      <w:marRight w:val="0"/>
      <w:marTop w:val="0"/>
      <w:marBottom w:val="0"/>
      <w:divBdr>
        <w:top w:val="none" w:sz="0" w:space="0" w:color="auto"/>
        <w:left w:val="none" w:sz="0" w:space="0" w:color="auto"/>
        <w:bottom w:val="none" w:sz="0" w:space="0" w:color="auto"/>
        <w:right w:val="none" w:sz="0" w:space="0" w:color="auto"/>
      </w:divBdr>
    </w:div>
    <w:div w:id="655494241">
      <w:bodyDiv w:val="1"/>
      <w:marLeft w:val="0"/>
      <w:marRight w:val="0"/>
      <w:marTop w:val="0"/>
      <w:marBottom w:val="0"/>
      <w:divBdr>
        <w:top w:val="none" w:sz="0" w:space="0" w:color="auto"/>
        <w:left w:val="none" w:sz="0" w:space="0" w:color="auto"/>
        <w:bottom w:val="none" w:sz="0" w:space="0" w:color="auto"/>
        <w:right w:val="none" w:sz="0" w:space="0" w:color="auto"/>
      </w:divBdr>
    </w:div>
    <w:div w:id="749305412">
      <w:bodyDiv w:val="1"/>
      <w:marLeft w:val="0"/>
      <w:marRight w:val="0"/>
      <w:marTop w:val="0"/>
      <w:marBottom w:val="0"/>
      <w:divBdr>
        <w:top w:val="none" w:sz="0" w:space="0" w:color="auto"/>
        <w:left w:val="none" w:sz="0" w:space="0" w:color="auto"/>
        <w:bottom w:val="none" w:sz="0" w:space="0" w:color="auto"/>
        <w:right w:val="none" w:sz="0" w:space="0" w:color="auto"/>
      </w:divBdr>
    </w:div>
    <w:div w:id="803159510">
      <w:bodyDiv w:val="1"/>
      <w:marLeft w:val="0"/>
      <w:marRight w:val="0"/>
      <w:marTop w:val="0"/>
      <w:marBottom w:val="0"/>
      <w:divBdr>
        <w:top w:val="none" w:sz="0" w:space="0" w:color="auto"/>
        <w:left w:val="none" w:sz="0" w:space="0" w:color="auto"/>
        <w:bottom w:val="none" w:sz="0" w:space="0" w:color="auto"/>
        <w:right w:val="none" w:sz="0" w:space="0" w:color="auto"/>
      </w:divBdr>
    </w:div>
    <w:div w:id="821392497">
      <w:bodyDiv w:val="1"/>
      <w:marLeft w:val="0"/>
      <w:marRight w:val="0"/>
      <w:marTop w:val="0"/>
      <w:marBottom w:val="0"/>
      <w:divBdr>
        <w:top w:val="none" w:sz="0" w:space="0" w:color="auto"/>
        <w:left w:val="none" w:sz="0" w:space="0" w:color="auto"/>
        <w:bottom w:val="none" w:sz="0" w:space="0" w:color="auto"/>
        <w:right w:val="none" w:sz="0" w:space="0" w:color="auto"/>
      </w:divBdr>
    </w:div>
    <w:div w:id="952175983">
      <w:bodyDiv w:val="1"/>
      <w:marLeft w:val="0"/>
      <w:marRight w:val="0"/>
      <w:marTop w:val="0"/>
      <w:marBottom w:val="0"/>
      <w:divBdr>
        <w:top w:val="none" w:sz="0" w:space="0" w:color="auto"/>
        <w:left w:val="none" w:sz="0" w:space="0" w:color="auto"/>
        <w:bottom w:val="none" w:sz="0" w:space="0" w:color="auto"/>
        <w:right w:val="none" w:sz="0" w:space="0" w:color="auto"/>
      </w:divBdr>
    </w:div>
    <w:div w:id="987980597">
      <w:bodyDiv w:val="1"/>
      <w:marLeft w:val="0"/>
      <w:marRight w:val="0"/>
      <w:marTop w:val="0"/>
      <w:marBottom w:val="0"/>
      <w:divBdr>
        <w:top w:val="none" w:sz="0" w:space="0" w:color="auto"/>
        <w:left w:val="none" w:sz="0" w:space="0" w:color="auto"/>
        <w:bottom w:val="none" w:sz="0" w:space="0" w:color="auto"/>
        <w:right w:val="none" w:sz="0" w:space="0" w:color="auto"/>
      </w:divBdr>
    </w:div>
    <w:div w:id="1118454954">
      <w:bodyDiv w:val="1"/>
      <w:marLeft w:val="0"/>
      <w:marRight w:val="0"/>
      <w:marTop w:val="0"/>
      <w:marBottom w:val="0"/>
      <w:divBdr>
        <w:top w:val="none" w:sz="0" w:space="0" w:color="auto"/>
        <w:left w:val="none" w:sz="0" w:space="0" w:color="auto"/>
        <w:bottom w:val="none" w:sz="0" w:space="0" w:color="auto"/>
        <w:right w:val="none" w:sz="0" w:space="0" w:color="auto"/>
      </w:divBdr>
    </w:div>
    <w:div w:id="1210844846">
      <w:bodyDiv w:val="1"/>
      <w:marLeft w:val="0"/>
      <w:marRight w:val="0"/>
      <w:marTop w:val="0"/>
      <w:marBottom w:val="0"/>
      <w:divBdr>
        <w:top w:val="none" w:sz="0" w:space="0" w:color="auto"/>
        <w:left w:val="none" w:sz="0" w:space="0" w:color="auto"/>
        <w:bottom w:val="none" w:sz="0" w:space="0" w:color="auto"/>
        <w:right w:val="none" w:sz="0" w:space="0" w:color="auto"/>
      </w:divBdr>
    </w:div>
    <w:div w:id="1309166429">
      <w:bodyDiv w:val="1"/>
      <w:marLeft w:val="0"/>
      <w:marRight w:val="0"/>
      <w:marTop w:val="0"/>
      <w:marBottom w:val="0"/>
      <w:divBdr>
        <w:top w:val="none" w:sz="0" w:space="0" w:color="auto"/>
        <w:left w:val="none" w:sz="0" w:space="0" w:color="auto"/>
        <w:bottom w:val="none" w:sz="0" w:space="0" w:color="auto"/>
        <w:right w:val="none" w:sz="0" w:space="0" w:color="auto"/>
      </w:divBdr>
    </w:div>
    <w:div w:id="1361081724">
      <w:bodyDiv w:val="1"/>
      <w:marLeft w:val="0"/>
      <w:marRight w:val="0"/>
      <w:marTop w:val="0"/>
      <w:marBottom w:val="0"/>
      <w:divBdr>
        <w:top w:val="none" w:sz="0" w:space="0" w:color="auto"/>
        <w:left w:val="none" w:sz="0" w:space="0" w:color="auto"/>
        <w:bottom w:val="none" w:sz="0" w:space="0" w:color="auto"/>
        <w:right w:val="none" w:sz="0" w:space="0" w:color="auto"/>
      </w:divBdr>
    </w:div>
    <w:div w:id="1383751094">
      <w:bodyDiv w:val="1"/>
      <w:marLeft w:val="0"/>
      <w:marRight w:val="0"/>
      <w:marTop w:val="0"/>
      <w:marBottom w:val="0"/>
      <w:divBdr>
        <w:top w:val="none" w:sz="0" w:space="0" w:color="auto"/>
        <w:left w:val="none" w:sz="0" w:space="0" w:color="auto"/>
        <w:bottom w:val="none" w:sz="0" w:space="0" w:color="auto"/>
        <w:right w:val="none" w:sz="0" w:space="0" w:color="auto"/>
      </w:divBdr>
    </w:div>
    <w:div w:id="1465344193">
      <w:bodyDiv w:val="1"/>
      <w:marLeft w:val="0"/>
      <w:marRight w:val="0"/>
      <w:marTop w:val="0"/>
      <w:marBottom w:val="0"/>
      <w:divBdr>
        <w:top w:val="none" w:sz="0" w:space="0" w:color="auto"/>
        <w:left w:val="none" w:sz="0" w:space="0" w:color="auto"/>
        <w:bottom w:val="none" w:sz="0" w:space="0" w:color="auto"/>
        <w:right w:val="none" w:sz="0" w:space="0" w:color="auto"/>
      </w:divBdr>
    </w:div>
    <w:div w:id="1709144229">
      <w:bodyDiv w:val="1"/>
      <w:marLeft w:val="0"/>
      <w:marRight w:val="0"/>
      <w:marTop w:val="0"/>
      <w:marBottom w:val="0"/>
      <w:divBdr>
        <w:top w:val="none" w:sz="0" w:space="0" w:color="auto"/>
        <w:left w:val="none" w:sz="0" w:space="0" w:color="auto"/>
        <w:bottom w:val="none" w:sz="0" w:space="0" w:color="auto"/>
        <w:right w:val="none" w:sz="0" w:space="0" w:color="auto"/>
      </w:divBdr>
    </w:div>
    <w:div w:id="19875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97F1C-21C8-41DC-9B3F-8288F18F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Sentance</dc:creator>
  <cp:lastModifiedBy>Andy Sentance</cp:lastModifiedBy>
  <cp:revision>11</cp:revision>
  <dcterms:created xsi:type="dcterms:W3CDTF">2017-02-09T10:32:00Z</dcterms:created>
  <dcterms:modified xsi:type="dcterms:W3CDTF">2017-05-17T12:29:00Z</dcterms:modified>
</cp:coreProperties>
</file>