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200" w:after="12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</w:rPr>
        <w:t xml:space="preserve">Veritas Claims — Solution Architecture</w:t>
      </w:r>
    </w:p>
    <w:p>
      <w:pPr>
        <w:spacing w:before="60" w:after="80"/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This document presents the enterprise solution architecture for the Veritas Claims Medical Data Standardisation Platform, covering both the Functional Architecture (FR-1 to FR-5) and Non-Functional Architecture (NFR-1 to NFR-5).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1"/>
        <w:spacing w:before="220" w:after="100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</w:rPr>
        <w:t xml:space="preserve">1. Functional Architecture</w:t>
      </w:r>
    </w:p>
    <w:p>
      <w:pPr>
        <w:spacing w:before="60" w:after="80"/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The platform transforms heterogeneous clinic JSON payloads into validated canonical clinical records through five functional stages: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Ingestion Layer (FR-1): Over 500 partner clinics land JSON reports into Google Cloud Storage (GCS) at gs://veritas-raw/{clinic_id}/{date}/{doc_id}.json via SFTP scheduled batch drops or HTTPS REST webhooks. GCS emits Cloud Pub/Sub object.finalize events to decouple ingestion from downstream processing without polling. Incoming files undergo three-way deduplication (Document ID, SHA-256 content hash, and claim context); detected duplicates are quarantined into the Dead-Letter Queue (DLQ) as DUPLICATE_SUPPRESSED.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Processing &amp; Standardisation Layer (FR-2 &amp; FR-3): Stateless Cloud Run / GKE workers execute a multi-stage standardisation pipeline: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1. </w:t>
      </w:r>
      <w:r>
        <w:rPr>
          <w:rFonts w:ascii="Arial" w:hAnsi="Arial" w:cs="Arial"/>
        </w:rPr>
        <w:t xml:space="preserve">Test Normalisation: Resolves typos and variants to canonical test names via exact dictionary lookup with fallback Levenshtein fuzzy matching (similarity &gt;= 0.85).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2. </w:t>
      </w:r>
      <w:r>
        <w:rPr>
          <w:rFonts w:ascii="Arial" w:hAnsi="Arial" w:cs="Arial"/>
        </w:rPr>
        <w:t xml:space="preserve">Value &amp; Unit Harmonisation: Extracts clean numeric results from mixed text strings (e.g., '120000 cells/cu.mm' -&gt; 120000.0) and scales disparate units (e.g., g/L to g/dL).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3. </w:t>
      </w:r>
      <w:r>
        <w:rPr>
          <w:rFonts w:ascii="Arial" w:hAnsi="Arial" w:cs="Arial"/>
        </w:rPr>
        <w:t xml:space="preserve">Demographics &amp; Medicines: Standardises compound age strings ('33Y11M' -&gt; 34.0), gender codes (M, F, OTHER), and maps brand-name drugs to generic active molecules (e.g., TAB DOLO 650 -&gt; Paracetamol).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4. </w:t>
      </w:r>
      <w:r>
        <w:rPr>
          <w:rFonts w:ascii="Arial" w:hAnsi="Arial" w:cs="Arial"/>
        </w:rPr>
        <w:t xml:space="preserve">Clinical Validation: Validates results against biological reference ranges, flagging routine out-of-range values and isolating extreme physiological OUTLIER readings to prevent wrongful auto-adjudication.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Storage Layer (FR-4): Implements a two-tier storage model: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1. </w:t>
      </w:r>
      <w:r>
        <w:rPr>
          <w:rFonts w:ascii="Arial" w:hAnsi="Arial" w:cs="Arial"/>
        </w:rPr>
        <w:t xml:space="preserve">Operational Store (Cloud SQL / PostgreSQL): Sub-20ms reads powering the live web UI, patient lookups, and queue triage.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2. </w:t>
      </w:r>
      <w:r>
        <w:rPr>
          <w:rFonts w:ascii="Arial" w:hAnsi="Arial" w:cs="Arial"/>
        </w:rPr>
        <w:t xml:space="preserve">Analytical Warehouse (Google BigQuery): Columnar store populating the canonical 78-column schema, partitioned by reports_date and clustered by source_system and claim_no for multi-year actuarial modeling and fraud detection.</w:t>
      </w:r>
    </w:p>
    <w:p>
      <w:pPr>
        <w:ind w:left="400" w:hanging="24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3. </w:t>
      </w:r>
      <w:r>
        <w:rPr>
          <w:rFonts w:ascii="Arial" w:hAnsi="Arial" w:cs="Arial"/>
        </w:rPr>
        <w:t xml:space="preserve">Audit Lineage: Retains original unedited raw fields alongside standardised values for full legal traceability.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Configuration Layer: Clinic adapters, alias dictionaries, reference ranges, and drug mappings are stored declaratively as JSONC files in a dedicated GCS bucket (gs://veritas-configs/). Workers cache configs in-memory (&lt;1ms lookups), enabling zero-code onboarding without redeployment.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Error Handling &amp; DLQ: Malformed JSONs, schema violations, and corrupt files route to dead_letter_records and a DLQ GCS bucket with error stack traces for triage and one-click replay.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Operational UI Layer (FR-5): A FastAPI microservice and Next.js dashboard provide real-time KPI metrics, flagged outlier review, raw-vs-canonical record inspection, clinic scorecards, and live configuration management.</w:t>
      </w:r>
    </w:p>
    <w:p>
      <w:pPr>
        <w:pBdr>
          <w:bottom w:val="single" w:sz="6" w:space="1" w:color="CCCCCC"/>
        </w:pBdr>
        <w:spacing w:before="80" w:after="80"/>
      </w:pPr>
    </w:p>
    <w:p>
      <w:pPr>
        <w:pBdr>
          <w:top w:val="single" w:sz="6" w:space="6" w:color="999999"/>
          <w:left w:val="single" w:sz="6" w:space="8" w:color="999999"/>
          <w:bottom w:val="single" w:sz="6" w:space="6" w:color="999999"/>
          <w:right w:val="single" w:sz="6" w:space="8" w:color="999999"/>
        </w:pBdr>
        <w:spacing w:line="240" w:lineRule="auto" w:before="120" w:after="120"/>
      </w:pPr>
      <w:r>
        <w:rPr>
          <w:rFonts w:ascii="Arial" w:hAnsi="Arial" w:cs="Arial"/>
          <w:sz w:val="18"/>
        </w:rPr>
        <w:t xml:space="preserve">+---------------------------------------------------------------------------------------------------+</w:t>
      </w:r>
      <w:r>
        <w:br/>
      </w:r>
      <w:r>
        <w:rPr>
          <w:rFonts w:ascii="Arial" w:hAnsi="Arial" w:cs="Arial"/>
          <w:sz w:val="18"/>
        </w:rPr>
        <w:t xml:space="preserve">|                                  [PASTE ARCHITECTURE DIAGRAM HERE]                                |</w:t>
      </w:r>
      <w:r>
        <w:br/>
      </w:r>
      <w:r>
        <w:rPr>
          <w:rFonts w:ascii="Arial" w:hAnsi="Arial" w:cs="Arial"/>
          <w:sz w:val="18"/>
        </w:rPr>
        <w:t xml:space="preserve">|                                       (docs/architecture.drawio)                                  |</w:t>
      </w:r>
      <w:r>
        <w:br/>
      </w:r>
      <w:r>
        <w:rPr>
          <w:rFonts w:ascii="Arial" w:hAnsi="Arial" w:cs="Arial"/>
          <w:sz w:val="18"/>
        </w:rPr>
        <w:t xml:space="preserve">|                                                                                                   |</w:t>
      </w:r>
      <w:r>
        <w:br/>
      </w:r>
      <w:r>
        <w:rPr>
          <w:rFonts w:ascii="Arial" w:hAnsi="Arial" w:cs="Arial"/>
          <w:sz w:val="18"/>
        </w:rPr>
        <w:t xml:space="preserve">|  External Sources (Left)  --&gt;  GCP Processing &amp; Two-Tier Storage (Center)  --&gt;  Users / BI (Right)  |</w:t>
      </w:r>
      <w:r>
        <w:br/>
      </w:r>
      <w:r>
        <w:rPr>
          <w:rFonts w:ascii="Arial" w:hAnsi="Arial" w:cs="Arial"/>
          <w:sz w:val="18"/>
        </w:rPr>
        <w:t xml:space="preserve">|                                                                                                   |</w:t>
      </w:r>
      <w:r>
        <w:br/>
      </w:r>
      <w:r>
        <w:rPr>
          <w:rFonts w:ascii="Arial" w:hAnsi="Arial" w:cs="Arial"/>
          <w:sz w:val="18"/>
        </w:rPr>
        <w:t xml:space="preserve">|                                                                                                   |</w:t>
      </w:r>
      <w:r>
        <w:br/>
      </w:r>
      <w:r>
        <w:rPr>
          <w:rFonts w:ascii="Arial" w:hAnsi="Arial" w:cs="Arial"/>
          <w:sz w:val="18"/>
        </w:rPr>
        <w:t xml:space="preserve">+---------------------------------------------------------------------------------------------------+</w:t>
      </w:r>
      <w:r>
        <w:br/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1"/>
        <w:spacing w:before="220" w:after="100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</w:rPr>
        <w:t xml:space="preserve">2. Non-Functional Architecture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Scale &amp; Performance (NFR-1):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Throughput: Handles 200,000 files/day steady state (2.31/s) and 400,000 files/day peak burst (9.72/s). A single worker processes a file in ~80ms. An auto-scaling pool of 5–10 Cloud Run / GKE workers easily processes &gt;120 files/sec (&gt;10x peak headroom).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Latency SLA: End-to-end P95 latency from GCS upload to database availability is &lt;6 seconds, comfortably beating the 15-minute SLA.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Clinic Onboarding &amp; Evolution (NFR-2):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Zero-Code Onboarding: New clinics are onboarded in &lt;2 hours by registering a declarative JSONC profile in the UI, requiring zero pipeline code changes or redeployments.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Schema Versioning: Versioned adapter profiles (e.g., FASTTRACK_V1, V2) ensure backward compatibility when clinic EHRs upgrade formats.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Reliability, Resilience &amp; Idempotency (NFR-3):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Fault Isolation: Stateless worker execution isolates corrupted files into the DLQ, ensuring zero pipeline stalls.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Idempotency &amp; 99.5% Uptime: Deterministic primary keys (doc_id + classifier + item_idx) ensure idempotent upserts (INSERT OR REPLACE / MERGE) with zero duplicate database rows on reprocessing.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Data Quality &amp; Governance (NFR-4):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Standardisation Coverage: Reaches &gt;98% canonical coverage within 30 days via automated fallback matching and steward triage scorecards.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Security &amp; Compliance: Patient PII fields are protected using Cloud KMS envelope encryption (AES-256), Cloud IAM least-privilege, and immutable HIPAA audit logging.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Observability (NFR-5):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Structured Logging: All pipeline stages emit structured JSON logs with correlation trace_id for end-to-end tracing.</w:t>
      </w:r>
    </w:p>
    <w:p>
      <w:pPr>
        <w:ind w:left="400" w:hanging="200"/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• </w:t>
      </w:r>
      <w:r>
        <w:rPr>
          <w:rFonts w:ascii="Arial" w:hAnsi="Arial" w:cs="Arial"/>
        </w:rPr>
        <w:t xml:space="preserve">Monitoring &amp; Alerting: Real-time Cloud Monitoring tracks throughput, lag, and DLQ depth; alerts notify teams via PagerDuty/Slack if error rates exceed 1% or processing lag exceeds SLA.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Veritas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Claims Analytics — Engineering Assignment  |  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Relationship Id="rId7" Type="http://schemas.openxmlformats.org/officeDocument/2006/relationships/hyperlink" Target="http://draw.io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