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0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Veritas Claims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Assumptions</w:t>
      </w:r>
    </w:p>
    <w:p w:rsidR="00000000" w:rsidDel="00000000" w:rsidP="00000000" w:rsidRDefault="00000000" w:rsidRPr="00000000" w14:paraId="00000002">
      <w:pPr>
        <w:spacing w:after="80" w:before="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document outlines key assumptions and deliberate scope boundaries across business, technical, data, and production dimensions for the medical data standardisation platform.</w:t>
      </w:r>
    </w:p>
    <w:p w:rsidR="00000000" w:rsidDel="00000000" w:rsidP="00000000" w:rsidRDefault="00000000" w:rsidRPr="00000000" w14:paraId="00000003">
      <w:pPr>
        <w:pBdr>
          <w:bottom w:color="cccccc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0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Business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he 200,000 daily reports arrive asynchronously across 500+ independent clinics via SFTP batch drops or HTTPS REST</w:t>
      </w:r>
      <w:r w:rsidDel="00000000" w:rsidR="00000000" w:rsidRPr="00000000">
        <w:rPr>
          <w:rtl w:val="0"/>
        </w:rPr>
        <w:t xml:space="preserve"> APIs</w:t>
      </w:r>
      <w:r w:rsidDel="00000000" w:rsidR="00000000" w:rsidRPr="00000000">
        <w:rPr>
          <w:rFonts w:ascii="Arial" w:cs="Arial" w:eastAsia="Arial" w:hAnsi="Arial"/>
          <w:rtl w:val="0"/>
        </w:rPr>
        <w:t xml:space="preserve">. Peak burst reaches 10-15 files/sec during morning and evening hospital discharge windows.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Operations teams review flagged records (outliers, unmapped tests, quarantined duplicates) during business hours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claim settlement.</w:t>
      </w:r>
    </w:p>
    <w:p w:rsidR="00000000" w:rsidDel="00000000" w:rsidP="00000000" w:rsidRDefault="00000000" w:rsidRPr="00000000" w14:paraId="00000007">
      <w:pPr>
        <w:pBdr>
          <w:bottom w:color="cccccc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Technical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production platform targets Google Cloud Platform. The submitted prototype simulates these locally</w:t>
      </w:r>
      <w:r w:rsidDel="00000000" w:rsidR="00000000" w:rsidRPr="00000000">
        <w:rPr>
          <w:rtl w:val="0"/>
        </w:rPr>
        <w:t xml:space="preserve"> with</w:t>
      </w:r>
      <w:r w:rsidDel="00000000" w:rsidR="00000000" w:rsidRPr="00000000">
        <w:rPr>
          <w:rFonts w:ascii="Arial" w:cs="Arial" w:eastAsia="Arial" w:hAnsi="Arial"/>
          <w:rtl w:val="0"/>
        </w:rPr>
        <w:t xml:space="preserve"> SQLite and FastAPI.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elational tables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rtl w:val="0"/>
        </w:rPr>
        <w:t xml:space="preserve"> required for downstream</w:t>
      </w:r>
      <w:r w:rsidDel="00000000" w:rsidR="00000000" w:rsidRPr="00000000">
        <w:rPr>
          <w:rtl w:val="0"/>
        </w:rPr>
        <w:t xml:space="preserve"> reviews and 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Rule-based regex, exact dictionaries, and string matching are chosen over runtime Generative AI to eliminate clinical hallucinations, reduce costs, guarantee sub-millisecond execution, and ensure 100% audit reproducibility.</w:t>
      </w:r>
    </w:p>
    <w:p w:rsidR="00000000" w:rsidDel="00000000" w:rsidP="00000000" w:rsidRDefault="00000000" w:rsidRPr="00000000" w14:paraId="0000000C">
      <w:pPr>
        <w:pBdr>
          <w:bottom w:color="cccccc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22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Data Assumptions &amp;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Clinic extractors or </w:t>
      </w:r>
      <w:r w:rsidDel="00000000" w:rsidR="00000000" w:rsidRPr="00000000">
        <w:rPr>
          <w:rtl w:val="0"/>
        </w:rPr>
        <w:t xml:space="preserve">OCRs may</w:t>
      </w:r>
      <w:r w:rsidDel="00000000" w:rsidR="00000000" w:rsidRPr="00000000">
        <w:rPr>
          <w:rFonts w:ascii="Arial" w:cs="Arial" w:eastAsia="Arial" w:hAnsi="Arial"/>
          <w:rtl w:val="0"/>
        </w:rPr>
        <w:t xml:space="preserve"> collapse multi-parameter lab panels into comma-separated strings. The pipeline safely extracts the primary reading and preserves complete raw text.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source reports omit reference ranges, the pipeline falls back to standard medical reference intervals in configuration dictionaries.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Demographics &amp; Medicines: Alphanumeric age strings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are converted to decimal and whole years; non-standard dates are converted to YYYY-MM-DD; brand drugs are normalized to generic molecules.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