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D46C" w14:textId="77777777" w:rsidR="00514329" w:rsidRPr="00514329" w:rsidRDefault="00514329" w:rsidP="00514329">
      <w:pPr>
        <w:pStyle w:val="NormalWeb"/>
        <w:rPr>
          <w:rFonts w:asciiTheme="minorHAnsi" w:hAnsiTheme="minorHAnsi"/>
        </w:rPr>
      </w:pPr>
      <w:r w:rsidRPr="00514329">
        <w:rPr>
          <w:rFonts w:asciiTheme="minorHAnsi" w:hAnsiTheme="minorHAnsi"/>
        </w:rPr>
        <w:t>Joel Atkinson</w:t>
      </w:r>
    </w:p>
    <w:p w14:paraId="1BF70E61" w14:textId="102ACA91" w:rsidR="00514329" w:rsidRPr="00514329" w:rsidRDefault="00514329" w:rsidP="00514329">
      <w:pPr>
        <w:pStyle w:val="NormalWeb"/>
        <w:rPr>
          <w:rFonts w:asciiTheme="minorHAnsi" w:hAnsiTheme="minorHAnsi"/>
        </w:rPr>
      </w:pPr>
      <w:r w:rsidRPr="00514329">
        <w:rPr>
          <w:rFonts w:asciiTheme="minorHAnsi" w:hAnsiTheme="minorHAnsi"/>
        </w:rPr>
        <w:t xml:space="preserve">February 13, 2026 </w:t>
      </w:r>
    </w:p>
    <w:p w14:paraId="6E44D69D" w14:textId="77777777" w:rsidR="00514329" w:rsidRPr="00514329" w:rsidRDefault="00514329" w:rsidP="00514329">
      <w:pPr>
        <w:pStyle w:val="NormalWeb"/>
        <w:jc w:val="center"/>
        <w:rPr>
          <w:rFonts w:asciiTheme="minorHAnsi" w:hAnsiTheme="minorHAnsi"/>
        </w:rPr>
      </w:pPr>
      <w:r w:rsidRPr="00514329">
        <w:rPr>
          <w:rFonts w:asciiTheme="minorHAnsi" w:hAnsiTheme="minorHAnsi"/>
        </w:rPr>
        <w:t>CSD380 DevOps</w:t>
      </w:r>
    </w:p>
    <w:p w14:paraId="3864872B" w14:textId="77777777" w:rsidR="00514329" w:rsidRPr="00514329" w:rsidRDefault="00514329" w:rsidP="00514329">
      <w:pPr>
        <w:pStyle w:val="NormalWeb"/>
        <w:jc w:val="center"/>
        <w:rPr>
          <w:rFonts w:asciiTheme="minorHAnsi" w:hAnsiTheme="minorHAnsi"/>
        </w:rPr>
      </w:pPr>
      <w:r w:rsidRPr="00514329">
        <w:rPr>
          <w:rFonts w:asciiTheme="minorHAnsi" w:hAnsiTheme="minorHAnsi"/>
        </w:rPr>
        <w:t>Assignment 6.2</w:t>
      </w:r>
    </w:p>
    <w:p w14:paraId="56B3445A" w14:textId="7FDF664D" w:rsidR="00514329" w:rsidRPr="00514329" w:rsidRDefault="00514329" w:rsidP="00514329">
      <w:pPr>
        <w:pStyle w:val="NormalWeb"/>
        <w:rPr>
          <w:rFonts w:asciiTheme="minorHAnsi" w:hAnsiTheme="minorHAnsi"/>
        </w:rPr>
      </w:pPr>
      <w:r w:rsidRPr="00514329">
        <w:rPr>
          <w:rFonts w:asciiTheme="minorHAnsi" w:hAnsiTheme="minorHAnsi"/>
        </w:rPr>
        <w:t xml:space="preserve">The case study presented in Chapter 13 of </w:t>
      </w:r>
      <w:r w:rsidRPr="00514329">
        <w:rPr>
          <w:rStyle w:val="Emphasis"/>
          <w:rFonts w:asciiTheme="minorHAnsi" w:eastAsiaTheme="majorEastAsia" w:hAnsiTheme="minorHAnsi"/>
        </w:rPr>
        <w:t>The DevOps Handbook</w:t>
      </w:r>
      <w:r w:rsidRPr="00514329">
        <w:rPr>
          <w:rFonts w:asciiTheme="minorHAnsi" w:hAnsiTheme="minorHAnsi"/>
        </w:rPr>
        <w:t xml:space="preserve"> focuses on the implementation of the Strangler Fig Application Pattern at Blackboard Learn in 2011. Blackboard Inc., a major provider of educational technology software, was generating approximately $650 million in annual revenue at the time. However, despite its financial success, the company was facing serious technical challenges caused by a legacy J2EE monolithic codebase that dated back to 1997. Pieces of outdated Perl code were still embedded throughout the system, creating architectural complexity and making the system fragile and difficult to maintain.</w:t>
      </w:r>
    </w:p>
    <w:p w14:paraId="36520F55" w14:textId="1756292E" w:rsidR="00514329" w:rsidRPr="00514329" w:rsidRDefault="00514329" w:rsidP="00514329">
      <w:pPr>
        <w:pStyle w:val="NormalWeb"/>
        <w:rPr>
          <w:rFonts w:asciiTheme="minorHAnsi" w:hAnsiTheme="minorHAnsi"/>
        </w:rPr>
      </w:pPr>
      <w:r w:rsidRPr="00514329">
        <w:rPr>
          <w:rFonts w:asciiTheme="minorHAnsi" w:hAnsiTheme="minorHAnsi"/>
        </w:rPr>
        <w:t>David Ashman, Blackboard’s chief architect, noticed that their build, integration, and testing processes were becoming increasingly complicated and prone to failure. Lead times were increasing, and feedback from integration testing could take twenty-four to thirty-six hours. Developer productivity metrics clearly showed the problem. As shown in Figure 13.2</w:t>
      </w:r>
      <w:r w:rsidRPr="00514329">
        <w:rPr>
          <w:rFonts w:asciiTheme="minorHAnsi" w:hAnsiTheme="minorHAnsi"/>
        </w:rPr>
        <w:t xml:space="preserve">, </w:t>
      </w:r>
      <w:r w:rsidRPr="00514329">
        <w:rPr>
          <w:rFonts w:asciiTheme="minorHAnsi" w:hAnsiTheme="minorHAnsi"/>
        </w:rPr>
        <w:t>the number of lines of code in the monolithic repository continued to grow rapidly, while the number of code commits began to decline. This suggested that developers were struggling to make changes safely and efficiently. The system had become so tightly connected that even small updates required extensive coordination and carried significant risk.</w:t>
      </w:r>
    </w:p>
    <w:p w14:paraId="0522F32B" w14:textId="77777777" w:rsidR="00514329" w:rsidRPr="00514329" w:rsidRDefault="00514329" w:rsidP="00514329">
      <w:pPr>
        <w:pStyle w:val="NormalWeb"/>
        <w:rPr>
          <w:rFonts w:asciiTheme="minorHAnsi" w:hAnsiTheme="minorHAnsi"/>
        </w:rPr>
      </w:pPr>
      <w:r w:rsidRPr="00514329">
        <w:rPr>
          <w:rFonts w:asciiTheme="minorHAnsi" w:hAnsiTheme="minorHAnsi"/>
        </w:rPr>
        <w:t>Realizing that simply patching issues would not solve the deeper problem, Ashman launched a re-architecture effort in 2012 using the Strangler Fig Pattern. Instead of attempting a risky “big bang” rewrite of the entire application, Blackboard introduced modular components called “Building Blocks.” These were separate modules detached from the monolithic codebase and accessed through fixed APIs. Developers could work within these Building Blocks independently from the core monolith.</w:t>
      </w:r>
    </w:p>
    <w:p w14:paraId="28D77072" w14:textId="45AB0C2D" w:rsidR="00514329" w:rsidRPr="00514329" w:rsidRDefault="00514329" w:rsidP="00514329">
      <w:pPr>
        <w:pStyle w:val="NormalWeb"/>
        <w:rPr>
          <w:rFonts w:asciiTheme="minorHAnsi" w:hAnsiTheme="minorHAnsi"/>
        </w:rPr>
      </w:pPr>
      <w:r w:rsidRPr="00514329">
        <w:rPr>
          <w:rFonts w:asciiTheme="minorHAnsi" w:hAnsiTheme="minorHAnsi"/>
        </w:rPr>
        <w:t>The results were clear and measurable. As shown in Figure 13.3, after the Building Blocks were introduced, code commits increased while the size of the monolithic repository began to shrink. Developers became more productive, and failures were limited to smaller areas rather than affecting the entire system. Ashman concluded that a modular architecture allowed developers to work with greater independence and safety. This shift also improved build processes and shortened feedback cycles, leading to higher quality releases and faster development.</w:t>
      </w:r>
    </w:p>
    <w:p w14:paraId="6C018540" w14:textId="77777777" w:rsidR="00514329" w:rsidRPr="00514329" w:rsidRDefault="00514329" w:rsidP="00514329">
      <w:pPr>
        <w:pStyle w:val="NormalWeb"/>
        <w:rPr>
          <w:rFonts w:asciiTheme="minorHAnsi" w:hAnsiTheme="minorHAnsi"/>
        </w:rPr>
      </w:pPr>
      <w:r w:rsidRPr="00514329">
        <w:rPr>
          <w:rFonts w:asciiTheme="minorHAnsi" w:hAnsiTheme="minorHAnsi"/>
        </w:rPr>
        <w:t>Lessons Learned in this Case Study</w:t>
      </w:r>
    </w:p>
    <w:p w14:paraId="1161DF2A" w14:textId="77777777" w:rsidR="00514329" w:rsidRPr="00514329" w:rsidRDefault="00514329" w:rsidP="00514329">
      <w:pPr>
        <w:pStyle w:val="NormalWeb"/>
        <w:rPr>
          <w:rFonts w:asciiTheme="minorHAnsi" w:hAnsiTheme="minorHAnsi"/>
        </w:rPr>
      </w:pPr>
      <w:r w:rsidRPr="00514329">
        <w:rPr>
          <w:rFonts w:asciiTheme="minorHAnsi" w:hAnsiTheme="minorHAnsi"/>
        </w:rPr>
        <w:lastRenderedPageBreak/>
        <w:t>The first major lesson from this case study is that architecture has a direct impact on productivity and delivery performance. Blackboard’s declining code commits were not caused by a lack of skill or motivation among developers, but by limitations within the system itself. When a system becomes too tightly coupled, even minor changes become risky and difficult. The Strangler Fig Pattern allowed Blackboard to gradually separate and replace problematic parts of the codebase without disrupting the entire application. This supports a key DevOps principle: system design strongly influences team performance. If the architecture does not allow safe and independent changes, development speed will decline.</w:t>
      </w:r>
    </w:p>
    <w:p w14:paraId="72BB0BEC" w14:textId="77777777" w:rsidR="00514329" w:rsidRPr="00514329" w:rsidRDefault="00514329" w:rsidP="00514329">
      <w:pPr>
        <w:pStyle w:val="NormalWeb"/>
        <w:rPr>
          <w:rFonts w:asciiTheme="minorHAnsi" w:hAnsiTheme="minorHAnsi"/>
        </w:rPr>
      </w:pPr>
      <w:r w:rsidRPr="00514329">
        <w:rPr>
          <w:rFonts w:asciiTheme="minorHAnsi" w:hAnsiTheme="minorHAnsi"/>
        </w:rPr>
        <w:t>The second lesson is that gradual modernization is often safer and more effective than a complete rewrite. Many organizations are tempted to rebuild legacy systems from scratch. However, full rewrites are risky, expensive, and frequently fail due to expanding scope and integration challenges. Blackboard’s strategy of progressive replacement, where new modular components slowly replace the old monolith, allowed the company to continue operating while modernizing the system. This reduced operational risk and protected the user experience. It was a controlled and steady transformation rather than a sudden and disruptive overhaul.</w:t>
      </w:r>
    </w:p>
    <w:p w14:paraId="0CC54962" w14:textId="77777777" w:rsidR="00514329" w:rsidRPr="00514329" w:rsidRDefault="00514329" w:rsidP="00514329">
      <w:pPr>
        <w:pStyle w:val="NormalWeb"/>
        <w:rPr>
          <w:rFonts w:asciiTheme="minorHAnsi" w:hAnsiTheme="minorHAnsi"/>
        </w:rPr>
      </w:pPr>
      <w:r w:rsidRPr="00514329">
        <w:rPr>
          <w:rFonts w:asciiTheme="minorHAnsi" w:hAnsiTheme="minorHAnsi"/>
        </w:rPr>
        <w:t>A third important takeaway is the relationship between modular architecture and team autonomy. After implementing Building Blocks, developers were able to work independently through clearly defined APIs instead of constantly coordinating changes within a shared monolith. This aligns with DevOps research, including DORA findings mentioned in the chapter, which show that loosely coupled architectures support high-performing teams by enabling faster and safer deployments. Architectural improvements are not just technical upgrades; they directly affect culture, speed, and team morale.</w:t>
      </w:r>
    </w:p>
    <w:p w14:paraId="079CF6C4" w14:textId="77777777" w:rsidR="00514329" w:rsidRPr="00514329" w:rsidRDefault="00514329" w:rsidP="00514329">
      <w:pPr>
        <w:pStyle w:val="NormalWeb"/>
        <w:rPr>
          <w:rFonts w:asciiTheme="minorHAnsi" w:hAnsiTheme="minorHAnsi"/>
        </w:rPr>
      </w:pPr>
      <w:r w:rsidRPr="00514329">
        <w:rPr>
          <w:rFonts w:asciiTheme="minorHAnsi" w:hAnsiTheme="minorHAnsi"/>
        </w:rPr>
        <w:t>Finally, this case study demonstrates the importance of measuring the right data. The clear evidence of increasing lines of code combined with decreasing commits made the problem visible and undeniable. What may have initially felt like general frustration was supported by objective metrics showing architectural bottlenecks. In DevOps, visibility leads to improvement. Once leadership could clearly see the issue, they were able to confidently invest in architectural changes.</w:t>
      </w:r>
    </w:p>
    <w:p w14:paraId="2BB37F97" w14:textId="77777777" w:rsidR="00514329" w:rsidRPr="00514329" w:rsidRDefault="00514329" w:rsidP="00514329">
      <w:pPr>
        <w:pStyle w:val="NormalWeb"/>
        <w:rPr>
          <w:rFonts w:asciiTheme="minorHAnsi" w:hAnsiTheme="minorHAnsi"/>
        </w:rPr>
      </w:pPr>
      <w:r w:rsidRPr="00514329">
        <w:rPr>
          <w:rFonts w:asciiTheme="minorHAnsi" w:hAnsiTheme="minorHAnsi"/>
        </w:rPr>
        <w:t>Overall, Blackboard’s use of the Strangler Fig Application Pattern provides a strong example of how careful architectural modernization can restore productivity, reduce risk, and support sustainable growth. Instead of allowing technical debt to continue building up, the organization chose a structured and gradual path forward. This case reinforces an essential DevOps principle: long-term system health is achieved not by simply delivering features faster, but by designing systems that allow safe, independent, and continuous change.</w:t>
      </w:r>
    </w:p>
    <w:p w14:paraId="20329B26" w14:textId="77777777" w:rsidR="00514329" w:rsidRPr="00514329" w:rsidRDefault="00514329" w:rsidP="00514329">
      <w:pPr>
        <w:pStyle w:val="NormalWeb"/>
        <w:rPr>
          <w:rFonts w:asciiTheme="minorHAnsi" w:hAnsiTheme="minorHAnsi"/>
        </w:rPr>
      </w:pPr>
      <w:r w:rsidRPr="00514329">
        <w:rPr>
          <w:rFonts w:asciiTheme="minorHAnsi" w:hAnsiTheme="minorHAnsi"/>
        </w:rPr>
        <w:t>Sources:</w:t>
      </w:r>
    </w:p>
    <w:p w14:paraId="5076CBBB" w14:textId="77777777" w:rsidR="00514329" w:rsidRPr="00514329" w:rsidRDefault="00514329" w:rsidP="00514329">
      <w:pPr>
        <w:pStyle w:val="NormalWeb"/>
        <w:rPr>
          <w:rFonts w:asciiTheme="minorHAnsi" w:hAnsiTheme="minorHAnsi"/>
        </w:rPr>
      </w:pPr>
      <w:r w:rsidRPr="00514329">
        <w:rPr>
          <w:rFonts w:asciiTheme="minorHAnsi" w:hAnsiTheme="minorHAnsi"/>
        </w:rPr>
        <w:lastRenderedPageBreak/>
        <w:t xml:space="preserve">Kim, G., Humble, J., Debois, P., &amp; Willis, J. (2016). </w:t>
      </w:r>
      <w:r w:rsidRPr="00514329">
        <w:rPr>
          <w:rStyle w:val="Emphasis"/>
          <w:rFonts w:asciiTheme="minorHAnsi" w:eastAsiaTheme="majorEastAsia" w:hAnsiTheme="minorHAnsi"/>
        </w:rPr>
        <w:t>The DevOps Handbook</w:t>
      </w:r>
      <w:r w:rsidRPr="00514329">
        <w:rPr>
          <w:rFonts w:asciiTheme="minorHAnsi" w:hAnsiTheme="minorHAnsi"/>
        </w:rPr>
        <w:t>. IT Revolution Press. Chapter 13.</w:t>
      </w:r>
      <w:r w:rsidRPr="00514329">
        <w:rPr>
          <w:rFonts w:asciiTheme="minorHAnsi" w:hAnsiTheme="minorHAnsi"/>
        </w:rPr>
        <w:br/>
        <w:t>Case Study Module 6</w:t>
      </w:r>
    </w:p>
    <w:p w14:paraId="58E05B9E" w14:textId="77777777" w:rsidR="005B6416" w:rsidRPr="00514329" w:rsidRDefault="005B6416"/>
    <w:sectPr w:rsidR="005B6416" w:rsidRPr="00514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29"/>
    <w:rsid w:val="00014B75"/>
    <w:rsid w:val="005049C7"/>
    <w:rsid w:val="00514329"/>
    <w:rsid w:val="005B6416"/>
    <w:rsid w:val="005D1B5F"/>
    <w:rsid w:val="00AE1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33C32"/>
  <w15:chartTrackingRefBased/>
  <w15:docId w15:val="{3820EBD9-4966-F243-B504-679D624C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329"/>
    <w:rPr>
      <w:rFonts w:eastAsiaTheme="majorEastAsia" w:cstheme="majorBidi"/>
      <w:color w:val="272727" w:themeColor="text1" w:themeTint="D8"/>
    </w:rPr>
  </w:style>
  <w:style w:type="paragraph" w:styleId="Title">
    <w:name w:val="Title"/>
    <w:basedOn w:val="Normal"/>
    <w:next w:val="Normal"/>
    <w:link w:val="TitleChar"/>
    <w:uiPriority w:val="10"/>
    <w:qFormat/>
    <w:rsid w:val="00514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329"/>
    <w:pPr>
      <w:spacing w:before="160"/>
      <w:jc w:val="center"/>
    </w:pPr>
    <w:rPr>
      <w:i/>
      <w:iCs/>
      <w:color w:val="404040" w:themeColor="text1" w:themeTint="BF"/>
    </w:rPr>
  </w:style>
  <w:style w:type="character" w:customStyle="1" w:styleId="QuoteChar">
    <w:name w:val="Quote Char"/>
    <w:basedOn w:val="DefaultParagraphFont"/>
    <w:link w:val="Quote"/>
    <w:uiPriority w:val="29"/>
    <w:rsid w:val="00514329"/>
    <w:rPr>
      <w:i/>
      <w:iCs/>
      <w:color w:val="404040" w:themeColor="text1" w:themeTint="BF"/>
    </w:rPr>
  </w:style>
  <w:style w:type="paragraph" w:styleId="ListParagraph">
    <w:name w:val="List Paragraph"/>
    <w:basedOn w:val="Normal"/>
    <w:uiPriority w:val="34"/>
    <w:qFormat/>
    <w:rsid w:val="00514329"/>
    <w:pPr>
      <w:ind w:left="720"/>
      <w:contextualSpacing/>
    </w:pPr>
  </w:style>
  <w:style w:type="character" w:styleId="IntenseEmphasis">
    <w:name w:val="Intense Emphasis"/>
    <w:basedOn w:val="DefaultParagraphFont"/>
    <w:uiPriority w:val="21"/>
    <w:qFormat/>
    <w:rsid w:val="00514329"/>
    <w:rPr>
      <w:i/>
      <w:iCs/>
      <w:color w:val="0F4761" w:themeColor="accent1" w:themeShade="BF"/>
    </w:rPr>
  </w:style>
  <w:style w:type="paragraph" w:styleId="IntenseQuote">
    <w:name w:val="Intense Quote"/>
    <w:basedOn w:val="Normal"/>
    <w:next w:val="Normal"/>
    <w:link w:val="IntenseQuoteChar"/>
    <w:uiPriority w:val="30"/>
    <w:qFormat/>
    <w:rsid w:val="00514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329"/>
    <w:rPr>
      <w:i/>
      <w:iCs/>
      <w:color w:val="0F4761" w:themeColor="accent1" w:themeShade="BF"/>
    </w:rPr>
  </w:style>
  <w:style w:type="character" w:styleId="IntenseReference">
    <w:name w:val="Intense Reference"/>
    <w:basedOn w:val="DefaultParagraphFont"/>
    <w:uiPriority w:val="32"/>
    <w:qFormat/>
    <w:rsid w:val="00514329"/>
    <w:rPr>
      <w:b/>
      <w:bCs/>
      <w:smallCaps/>
      <w:color w:val="0F4761" w:themeColor="accent1" w:themeShade="BF"/>
      <w:spacing w:val="5"/>
    </w:rPr>
  </w:style>
  <w:style w:type="paragraph" w:styleId="NormalWeb">
    <w:name w:val="Normal (Web)"/>
    <w:basedOn w:val="Normal"/>
    <w:uiPriority w:val="99"/>
    <w:semiHidden/>
    <w:unhideWhenUsed/>
    <w:rsid w:val="005143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14329"/>
    <w:rPr>
      <w:i/>
      <w:iCs/>
    </w:rPr>
  </w:style>
  <w:style w:type="character" w:customStyle="1" w:styleId="relative">
    <w:name w:val="relative"/>
    <w:basedOn w:val="DefaultParagraphFont"/>
    <w:rsid w:val="00514329"/>
  </w:style>
  <w:style w:type="paragraph" w:customStyle="1" w:styleId="not-prose">
    <w:name w:val="not-prose"/>
    <w:basedOn w:val="Normal"/>
    <w:rsid w:val="005143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1</cp:revision>
  <dcterms:created xsi:type="dcterms:W3CDTF">2026-02-12T21:31:00Z</dcterms:created>
  <dcterms:modified xsi:type="dcterms:W3CDTF">2026-02-15T21:20:00Z</dcterms:modified>
</cp:coreProperties>
</file>