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1725" w14:textId="7F8C7B4E" w:rsidR="001A791E" w:rsidRDefault="001A791E">
      <w:r>
        <w:t>Joel Atkinson</w:t>
      </w:r>
    </w:p>
    <w:p w14:paraId="406BAAD3" w14:textId="5F3D9B8A" w:rsidR="001A791E" w:rsidRDefault="001A791E">
      <w:r>
        <w:t>January 14, 2026</w:t>
      </w:r>
    </w:p>
    <w:p w14:paraId="5BC15764" w14:textId="288E79B0" w:rsidR="001A791E" w:rsidRDefault="001A791E" w:rsidP="001A791E">
      <w:pPr>
        <w:jc w:val="center"/>
      </w:pPr>
      <w:r>
        <w:t>CSD-380 DevOps</w:t>
      </w:r>
    </w:p>
    <w:p w14:paraId="14BCCBE3" w14:textId="7F97D398" w:rsidR="001A791E" w:rsidRDefault="001A791E" w:rsidP="001A791E">
      <w:pPr>
        <w:jc w:val="center"/>
      </w:pPr>
      <w:r>
        <w:t>Assignment 2.2</w:t>
      </w:r>
    </w:p>
    <w:p w14:paraId="7A4E43A2" w14:textId="77777777" w:rsidR="001A791E" w:rsidRPr="00124335" w:rsidRDefault="001A791E" w:rsidP="001A791E">
      <w:pPr>
        <w:rPr>
          <w:b/>
          <w:bCs/>
        </w:rPr>
      </w:pPr>
    </w:p>
    <w:p w14:paraId="3E5282D4" w14:textId="309FFBD5" w:rsidR="007D21D0" w:rsidRPr="00124335" w:rsidRDefault="007D21D0" w:rsidP="007D21D0">
      <w:pPr>
        <w:pStyle w:val="NormalWeb"/>
        <w:rPr>
          <w:rFonts w:asciiTheme="minorHAnsi" w:hAnsiTheme="minorHAnsi"/>
          <w:b/>
          <w:bCs/>
        </w:rPr>
      </w:pPr>
      <w:r w:rsidRPr="00124335">
        <w:rPr>
          <w:rFonts w:asciiTheme="minorHAnsi" w:hAnsiTheme="minorHAnsi"/>
          <w:b/>
          <w:bCs/>
        </w:rPr>
        <w:t>Case Study Summary</w:t>
      </w:r>
    </w:p>
    <w:p w14:paraId="45C9C330" w14:textId="0E8BEE72" w:rsidR="007D21D0" w:rsidRPr="007D21D0" w:rsidRDefault="007D21D0" w:rsidP="007D21D0">
      <w:pPr>
        <w:pStyle w:val="NormalWeb"/>
        <w:rPr>
          <w:rFonts w:asciiTheme="minorHAnsi" w:hAnsiTheme="minorHAnsi"/>
        </w:rPr>
      </w:pPr>
      <w:r w:rsidRPr="007D21D0">
        <w:rPr>
          <w:rFonts w:asciiTheme="minorHAnsi" w:hAnsiTheme="minorHAnsi"/>
        </w:rPr>
        <w:t xml:space="preserve">The case study outlined in chapter 6 of The DevOps Handbook focuses on LinkedIn’s “Operation </w:t>
      </w:r>
      <w:proofErr w:type="spellStart"/>
      <w:r w:rsidRPr="007D21D0">
        <w:rPr>
          <w:rFonts w:asciiTheme="minorHAnsi" w:hAnsiTheme="minorHAnsi"/>
        </w:rPr>
        <w:t>InVersion</w:t>
      </w:r>
      <w:proofErr w:type="spellEnd"/>
      <w:r w:rsidRPr="007D21D0">
        <w:rPr>
          <w:rFonts w:asciiTheme="minorHAnsi" w:hAnsiTheme="minorHAnsi"/>
        </w:rPr>
        <w:t xml:space="preserve">,” launched in 2011 to address escalating technical debt. LinkedIn, a professional networking platform founded in 2003, </w:t>
      </w:r>
      <w:r w:rsidRPr="007D21D0">
        <w:rPr>
          <w:rFonts w:asciiTheme="minorHAnsi" w:hAnsiTheme="minorHAnsi"/>
        </w:rPr>
        <w:t>experienced exponential growth</w:t>
      </w:r>
      <w:r w:rsidR="00124335">
        <w:rPr>
          <w:rFonts w:asciiTheme="minorHAnsi" w:hAnsiTheme="minorHAnsi"/>
        </w:rPr>
        <w:t>, reaching</w:t>
      </w:r>
      <w:r w:rsidRPr="007D21D0">
        <w:rPr>
          <w:rFonts w:asciiTheme="minorHAnsi" w:hAnsiTheme="minorHAnsi"/>
        </w:rPr>
        <w:t xml:space="preserve"> 2,700 members in its first week, surpassed one million members within a year, and hit 350 million by 2015. This rapid growth created immense demands on the backend, with millions of queries per second straining the infrastructure.</w:t>
      </w:r>
    </w:p>
    <w:p w14:paraId="4915DBB5" w14:textId="7E03DB5D" w:rsidR="007D21D0" w:rsidRPr="007D21D0" w:rsidRDefault="007D21D0" w:rsidP="007D21D0">
      <w:pPr>
        <w:pStyle w:val="NormalWeb"/>
        <w:rPr>
          <w:rFonts w:asciiTheme="minorHAnsi" w:hAnsiTheme="minorHAnsi"/>
        </w:rPr>
      </w:pPr>
      <w:r w:rsidRPr="007D21D0">
        <w:rPr>
          <w:rFonts w:asciiTheme="minorHAnsi" w:hAnsiTheme="minorHAnsi"/>
        </w:rPr>
        <w:t xml:space="preserve">Initially, LinkedIn ran on a homegrown monolithic Java application called Leo, which used servlets to serve every page and managed JDBC connections to various Oracle databases. As traffic surged, two key services (member connection graphs and </w:t>
      </w:r>
      <w:r w:rsidRPr="007D21D0">
        <w:rPr>
          <w:rFonts w:asciiTheme="minorHAnsi" w:hAnsiTheme="minorHAnsi"/>
        </w:rPr>
        <w:t xml:space="preserve">member </w:t>
      </w:r>
      <w:r w:rsidRPr="007D21D0">
        <w:rPr>
          <w:rFonts w:asciiTheme="minorHAnsi" w:hAnsiTheme="minorHAnsi"/>
        </w:rPr>
        <w:t>search) were decoupled from Leo. By 2010, however, nearly all new development occurred outside Leo, which was only deployed every two weeks. The combination of high traffic and slow, risky deployments led to frequent crashes, constant firefighting, and developer burnout</w:t>
      </w:r>
      <w:r w:rsidRPr="007D21D0">
        <w:rPr>
          <w:rFonts w:asciiTheme="minorHAnsi" w:hAnsiTheme="minorHAnsi"/>
        </w:rPr>
        <w:t xml:space="preserve">. This was a prime example of </w:t>
      </w:r>
      <w:r w:rsidRPr="007D21D0">
        <w:rPr>
          <w:rFonts w:asciiTheme="minorHAnsi" w:hAnsiTheme="minorHAnsi"/>
        </w:rPr>
        <w:t>a classic "one step forward, two steps back" scenario where maintenance consumed all progress.</w:t>
      </w:r>
    </w:p>
    <w:p w14:paraId="4A54979A" w14:textId="37F97742" w:rsidR="007D21D0" w:rsidRPr="007D21D0" w:rsidRDefault="007D21D0" w:rsidP="007D21D0">
      <w:pPr>
        <w:pStyle w:val="NormalWeb"/>
        <w:rPr>
          <w:rFonts w:asciiTheme="minorHAnsi" w:hAnsiTheme="minorHAnsi"/>
        </w:rPr>
      </w:pPr>
      <w:r w:rsidRPr="007D21D0">
        <w:rPr>
          <w:rFonts w:asciiTheme="minorHAnsi" w:hAnsiTheme="minorHAnsi"/>
        </w:rPr>
        <w:t xml:space="preserve">In late 2011, top engineer Kevin Scott launched Operation </w:t>
      </w:r>
      <w:proofErr w:type="spellStart"/>
      <w:r w:rsidRPr="007D21D0">
        <w:rPr>
          <w:rFonts w:asciiTheme="minorHAnsi" w:hAnsiTheme="minorHAnsi"/>
        </w:rPr>
        <w:t>InVersion</w:t>
      </w:r>
      <w:proofErr w:type="spellEnd"/>
      <w:r w:rsidRPr="007D21D0">
        <w:rPr>
          <w:rFonts w:asciiTheme="minorHAnsi" w:hAnsiTheme="minorHAnsi"/>
        </w:rPr>
        <w:t>. This high-stakes decision paused all new feature development for approximately two months, redirecting the entire engineering organization to pay down nearly a decade of technical debt. As a newly public company, the risk was significant, with Scott noting that “the whole world was looking at you.”</w:t>
      </w:r>
    </w:p>
    <w:p w14:paraId="16D9E390" w14:textId="129D6133" w:rsidR="007D21D0" w:rsidRDefault="007D21D0" w:rsidP="007D21D0">
      <w:pPr>
        <w:pStyle w:val="NormalWeb"/>
        <w:rPr>
          <w:rFonts w:asciiTheme="minorHAnsi" w:hAnsiTheme="minorHAnsi"/>
        </w:rPr>
      </w:pPr>
      <w:r w:rsidRPr="007D21D0">
        <w:rPr>
          <w:rFonts w:asciiTheme="minorHAnsi" w:hAnsiTheme="minorHAnsi"/>
        </w:rPr>
        <w:t xml:space="preserve">The effort proved </w:t>
      </w:r>
      <w:r w:rsidRPr="007D21D0">
        <w:rPr>
          <w:rFonts w:asciiTheme="minorHAnsi" w:hAnsiTheme="minorHAnsi"/>
        </w:rPr>
        <w:t>to be a massive success</w:t>
      </w:r>
      <w:r w:rsidRPr="007D21D0">
        <w:rPr>
          <w:rFonts w:asciiTheme="minorHAnsi" w:hAnsiTheme="minorHAnsi"/>
        </w:rPr>
        <w:t xml:space="preserve">. By focusing on refactoring Leo, breaking it into smaller, stateless services, improving tooling, automating bug checks, and enabling continuous deployments, LinkedIn achieved far greater stability and speed. </w:t>
      </w:r>
      <w:r w:rsidRPr="007D21D0">
        <w:rPr>
          <w:rFonts w:asciiTheme="minorHAnsi" w:hAnsiTheme="minorHAnsi"/>
        </w:rPr>
        <w:t xml:space="preserve">After Operation </w:t>
      </w:r>
      <w:proofErr w:type="spellStart"/>
      <w:r w:rsidRPr="007D21D0">
        <w:rPr>
          <w:rFonts w:asciiTheme="minorHAnsi" w:hAnsiTheme="minorHAnsi"/>
        </w:rPr>
        <w:t>InVersion</w:t>
      </w:r>
      <w:proofErr w:type="spellEnd"/>
      <w:r w:rsidRPr="007D21D0">
        <w:rPr>
          <w:rFonts w:asciiTheme="minorHAnsi" w:hAnsiTheme="minorHAnsi"/>
        </w:rPr>
        <w:t>, major upgrades became possible multiple times per day instead of bi-weekly ordeals. This strategic investment in technical health created a foundation for safe, rapid future growth</w:t>
      </w:r>
      <w:r w:rsidRPr="007D21D0">
        <w:rPr>
          <w:rFonts w:asciiTheme="minorHAnsi" w:hAnsiTheme="minorHAnsi"/>
        </w:rPr>
        <w:t>,</w:t>
      </w:r>
      <w:r w:rsidRPr="007D21D0">
        <w:rPr>
          <w:rFonts w:asciiTheme="minorHAnsi" w:hAnsiTheme="minorHAnsi"/>
        </w:rPr>
        <w:t xml:space="preserve"> a powerful example of prioritizing sustainability over short-term </w:t>
      </w:r>
      <w:r w:rsidRPr="007D21D0">
        <w:rPr>
          <w:rFonts w:asciiTheme="minorHAnsi" w:hAnsiTheme="minorHAnsi"/>
        </w:rPr>
        <w:t>gain</w:t>
      </w:r>
      <w:r w:rsidRPr="007D21D0">
        <w:rPr>
          <w:rFonts w:asciiTheme="minorHAnsi" w:hAnsiTheme="minorHAnsi"/>
        </w:rPr>
        <w:t xml:space="preserve"> in DevOps.</w:t>
      </w:r>
    </w:p>
    <w:p w14:paraId="59DD32E1" w14:textId="77777777" w:rsidR="007D21D0" w:rsidRDefault="007D21D0" w:rsidP="007D21D0">
      <w:pPr>
        <w:pStyle w:val="NormalWeb"/>
        <w:rPr>
          <w:rFonts w:asciiTheme="minorHAnsi" w:hAnsiTheme="minorHAnsi"/>
        </w:rPr>
      </w:pPr>
    </w:p>
    <w:p w14:paraId="0EDC51EF" w14:textId="55D73009" w:rsidR="007D21D0" w:rsidRPr="00124335" w:rsidRDefault="007D21D0" w:rsidP="007D21D0">
      <w:pPr>
        <w:pStyle w:val="NormalWeb"/>
        <w:rPr>
          <w:rFonts w:asciiTheme="minorHAnsi" w:hAnsiTheme="minorHAnsi"/>
          <w:b/>
          <w:bCs/>
        </w:rPr>
      </w:pPr>
      <w:r w:rsidRPr="00124335">
        <w:rPr>
          <w:rFonts w:asciiTheme="minorHAnsi" w:hAnsiTheme="minorHAnsi"/>
          <w:b/>
          <w:bCs/>
        </w:rPr>
        <w:t>Lessons Learned in this Case Study</w:t>
      </w:r>
    </w:p>
    <w:p w14:paraId="75891F5F" w14:textId="048F3501" w:rsidR="00201BC4" w:rsidRPr="002274EB" w:rsidRDefault="00201BC4" w:rsidP="00201BC4">
      <w:pPr>
        <w:pStyle w:val="NormalWeb"/>
        <w:rPr>
          <w:rFonts w:asciiTheme="minorHAnsi" w:hAnsiTheme="minorHAnsi"/>
        </w:rPr>
      </w:pPr>
      <w:r w:rsidRPr="002274EB">
        <w:rPr>
          <w:rFonts w:asciiTheme="minorHAnsi" w:hAnsiTheme="minorHAnsi"/>
        </w:rPr>
        <w:lastRenderedPageBreak/>
        <w:t>The first lesson from this case study is o</w:t>
      </w:r>
      <w:r w:rsidRPr="002274EB">
        <w:rPr>
          <w:rFonts w:asciiTheme="minorHAnsi" w:hAnsiTheme="minorHAnsi"/>
        </w:rPr>
        <w:t>ne of the clearest</w:t>
      </w:r>
      <w:r w:rsidRPr="002274EB">
        <w:rPr>
          <w:rFonts w:asciiTheme="minorHAnsi" w:hAnsiTheme="minorHAnsi"/>
        </w:rPr>
        <w:t>.</w:t>
      </w:r>
      <w:r w:rsidRPr="002274EB">
        <w:rPr>
          <w:rFonts w:asciiTheme="minorHAnsi" w:hAnsiTheme="minorHAnsi"/>
        </w:rPr>
        <w:t xml:space="preserve"> Operation </w:t>
      </w:r>
      <w:proofErr w:type="spellStart"/>
      <w:r w:rsidRPr="002274EB">
        <w:rPr>
          <w:rFonts w:asciiTheme="minorHAnsi" w:hAnsiTheme="minorHAnsi"/>
        </w:rPr>
        <w:t>InVersion</w:t>
      </w:r>
      <w:proofErr w:type="spellEnd"/>
      <w:r w:rsidRPr="002274EB">
        <w:rPr>
          <w:rFonts w:asciiTheme="minorHAnsi" w:hAnsiTheme="minorHAnsi"/>
        </w:rPr>
        <w:t xml:space="preserve"> </w:t>
      </w:r>
      <w:r w:rsidRPr="002274EB">
        <w:rPr>
          <w:rFonts w:asciiTheme="minorHAnsi" w:hAnsiTheme="minorHAnsi"/>
        </w:rPr>
        <w:t>shows</w:t>
      </w:r>
      <w:r w:rsidRPr="002274EB">
        <w:rPr>
          <w:rFonts w:asciiTheme="minorHAnsi" w:hAnsiTheme="minorHAnsi"/>
        </w:rPr>
        <w:t xml:space="preserve"> that technical debt, when left unaddressed, compounds exponentially in high-growth environments. LinkedIn’s experience demonstrates that s</w:t>
      </w:r>
      <w:r w:rsidRPr="002274EB">
        <w:rPr>
          <w:rFonts w:asciiTheme="minorHAnsi" w:hAnsiTheme="minorHAnsi"/>
        </w:rPr>
        <w:t xml:space="preserve">acrificing </w:t>
      </w:r>
      <w:r w:rsidR="00124335">
        <w:rPr>
          <w:rFonts w:asciiTheme="minorHAnsi" w:hAnsiTheme="minorHAnsi"/>
        </w:rPr>
        <w:t xml:space="preserve">long-term </w:t>
      </w:r>
      <w:r w:rsidRPr="002274EB">
        <w:rPr>
          <w:rFonts w:asciiTheme="minorHAnsi" w:hAnsiTheme="minorHAnsi"/>
        </w:rPr>
        <w:t xml:space="preserve">system sustainability and maintenance for </w:t>
      </w:r>
      <w:r w:rsidR="00124335">
        <w:rPr>
          <w:rFonts w:asciiTheme="minorHAnsi" w:hAnsiTheme="minorHAnsi"/>
        </w:rPr>
        <w:t>short-term</w:t>
      </w:r>
      <w:r w:rsidRPr="002274EB">
        <w:rPr>
          <w:rFonts w:asciiTheme="minorHAnsi" w:hAnsiTheme="minorHAnsi"/>
        </w:rPr>
        <w:t xml:space="preserve"> growth will not work unless the current systems in place are built to handle the growth to come. Think of it like a building, you can build a beautiful skyscraper and keep adding </w:t>
      </w:r>
      <w:proofErr w:type="gramStart"/>
      <w:r w:rsidRPr="002274EB">
        <w:rPr>
          <w:rFonts w:asciiTheme="minorHAnsi" w:hAnsiTheme="minorHAnsi"/>
        </w:rPr>
        <w:t>more and more</w:t>
      </w:r>
      <w:proofErr w:type="gramEnd"/>
      <w:r w:rsidRPr="002274EB">
        <w:rPr>
          <w:rFonts w:asciiTheme="minorHAnsi" w:hAnsiTheme="minorHAnsi"/>
        </w:rPr>
        <w:t xml:space="preserve"> floors, but if the foundation that holds that skyscraper up is not up to the task, the entire building will collapse.</w:t>
      </w:r>
      <w:r w:rsidRPr="002274EB">
        <w:rPr>
          <w:rFonts w:asciiTheme="minorHAnsi" w:hAnsiTheme="minorHAnsi"/>
        </w:rPr>
        <w:t xml:space="preserve"> By choosing to halt new development for two months, leadership made a deliberate investment in the platform’s long-term health rather than continuing the cycle of reactive firefighting. The result was not just stabilization, but a dramatic increase in deployment frequency and reliability</w:t>
      </w:r>
      <w:r w:rsidRPr="002274EB">
        <w:rPr>
          <w:rFonts w:asciiTheme="minorHAnsi" w:hAnsiTheme="minorHAnsi"/>
        </w:rPr>
        <w:t xml:space="preserve">. This </w:t>
      </w:r>
      <w:r w:rsidRPr="002274EB">
        <w:rPr>
          <w:rFonts w:asciiTheme="minorHAnsi" w:hAnsiTheme="minorHAnsi"/>
        </w:rPr>
        <w:t>prov</w:t>
      </w:r>
      <w:r w:rsidRPr="002274EB">
        <w:rPr>
          <w:rFonts w:asciiTheme="minorHAnsi" w:hAnsiTheme="minorHAnsi"/>
        </w:rPr>
        <w:t>es</w:t>
      </w:r>
      <w:r w:rsidRPr="002274EB">
        <w:rPr>
          <w:rFonts w:asciiTheme="minorHAnsi" w:hAnsiTheme="minorHAnsi"/>
        </w:rPr>
        <w:t xml:space="preserve"> that time spent paying down debt is not lost productivity, but foundational work that unlocks future </w:t>
      </w:r>
      <w:r w:rsidRPr="002274EB">
        <w:rPr>
          <w:rFonts w:asciiTheme="minorHAnsi" w:hAnsiTheme="minorHAnsi"/>
        </w:rPr>
        <w:t>growth</w:t>
      </w:r>
      <w:r w:rsidRPr="002274EB">
        <w:rPr>
          <w:rFonts w:asciiTheme="minorHAnsi" w:hAnsiTheme="minorHAnsi"/>
        </w:rPr>
        <w:t>.</w:t>
      </w:r>
    </w:p>
    <w:p w14:paraId="7DE7EEEF" w14:textId="4ADC5350" w:rsidR="002274EB" w:rsidRPr="002274EB" w:rsidRDefault="00201BC4" w:rsidP="002274EB">
      <w:pPr>
        <w:pStyle w:val="NormalWeb"/>
        <w:rPr>
          <w:rFonts w:asciiTheme="minorHAnsi" w:hAnsiTheme="minorHAnsi"/>
        </w:rPr>
      </w:pPr>
      <w:r w:rsidRPr="002274EB">
        <w:rPr>
          <w:rFonts w:asciiTheme="minorHAnsi" w:hAnsiTheme="minorHAnsi"/>
        </w:rPr>
        <w:t xml:space="preserve">The second lesson from the Operation </w:t>
      </w:r>
      <w:proofErr w:type="spellStart"/>
      <w:r w:rsidRPr="002274EB">
        <w:rPr>
          <w:rFonts w:asciiTheme="minorHAnsi" w:hAnsiTheme="minorHAnsi"/>
        </w:rPr>
        <w:t>InVersion</w:t>
      </w:r>
      <w:proofErr w:type="spellEnd"/>
      <w:r w:rsidRPr="002274EB">
        <w:rPr>
          <w:rFonts w:asciiTheme="minorHAnsi" w:hAnsiTheme="minorHAnsi"/>
        </w:rPr>
        <w:t xml:space="preserve"> case study is that </w:t>
      </w:r>
      <w:r w:rsidR="002274EB" w:rsidRPr="002274EB">
        <w:rPr>
          <w:rFonts w:asciiTheme="minorHAnsi" w:hAnsiTheme="minorHAnsi"/>
        </w:rPr>
        <w:t>cultural and organizational buy</w:t>
      </w:r>
      <w:r w:rsidR="00124335">
        <w:rPr>
          <w:rFonts w:asciiTheme="minorHAnsi" w:hAnsiTheme="minorHAnsi"/>
        </w:rPr>
        <w:t>-</w:t>
      </w:r>
      <w:r w:rsidR="002274EB" w:rsidRPr="002274EB">
        <w:rPr>
          <w:rFonts w:asciiTheme="minorHAnsi" w:hAnsiTheme="minorHAnsi"/>
        </w:rPr>
        <w:t xml:space="preserve">in is essential to produce any meaningful change. </w:t>
      </w:r>
      <w:r w:rsidR="002274EB" w:rsidRPr="002274EB">
        <w:rPr>
          <w:rFonts w:asciiTheme="minorHAnsi" w:hAnsiTheme="minorHAnsi"/>
        </w:rPr>
        <w:t xml:space="preserve">Operation </w:t>
      </w:r>
      <w:proofErr w:type="spellStart"/>
      <w:r w:rsidR="002274EB" w:rsidRPr="002274EB">
        <w:rPr>
          <w:rFonts w:asciiTheme="minorHAnsi" w:hAnsiTheme="minorHAnsi"/>
        </w:rPr>
        <w:t>InVersion</w:t>
      </w:r>
      <w:proofErr w:type="spellEnd"/>
      <w:r w:rsidR="002274EB" w:rsidRPr="002274EB">
        <w:rPr>
          <w:rFonts w:asciiTheme="minorHAnsi" w:hAnsiTheme="minorHAnsi"/>
        </w:rPr>
        <w:t xml:space="preserve"> succeeded in large part because it was a company-wide commitment rather than an isolated engineering effort. The entire organization, including product, leadership, and stakeholders, aligned around the shared understanding that no new features would ship until the foundational systems were modernized. This level of </w:t>
      </w:r>
      <w:r w:rsidR="002274EB" w:rsidRPr="002274EB">
        <w:rPr>
          <w:rFonts w:asciiTheme="minorHAnsi" w:hAnsiTheme="minorHAnsi"/>
        </w:rPr>
        <w:t>buy-in company</w:t>
      </w:r>
      <w:r w:rsidR="00124335">
        <w:rPr>
          <w:rFonts w:asciiTheme="minorHAnsi" w:hAnsiTheme="minorHAnsi"/>
        </w:rPr>
        <w:t>-</w:t>
      </w:r>
      <w:r w:rsidR="002274EB" w:rsidRPr="002274EB">
        <w:rPr>
          <w:rFonts w:asciiTheme="minorHAnsi" w:hAnsiTheme="minorHAnsi"/>
        </w:rPr>
        <w:t>wide was critical to the success of the operation, especially when there were clearly external pressures that could have tried to push for continued future releases. This case study shows that it takes more than a good idea or good engineers to execute real change, there needs to be a buy</w:t>
      </w:r>
      <w:r w:rsidR="00124335">
        <w:rPr>
          <w:rFonts w:asciiTheme="minorHAnsi" w:hAnsiTheme="minorHAnsi"/>
        </w:rPr>
        <w:t>-</w:t>
      </w:r>
      <w:r w:rsidR="002274EB" w:rsidRPr="002274EB">
        <w:rPr>
          <w:rFonts w:asciiTheme="minorHAnsi" w:hAnsiTheme="minorHAnsi"/>
        </w:rPr>
        <w:t xml:space="preserve">in and cultural change with acceptance of short-term trade-offs for long term gains. </w:t>
      </w:r>
    </w:p>
    <w:p w14:paraId="0BCE8D89" w14:textId="0B3D9D99" w:rsidR="002274EB" w:rsidRDefault="002274EB" w:rsidP="002274EB">
      <w:pPr>
        <w:pStyle w:val="NormalWeb"/>
        <w:rPr>
          <w:rFonts w:asciiTheme="minorHAnsi" w:hAnsiTheme="minorHAnsi"/>
        </w:rPr>
      </w:pPr>
      <w:r w:rsidRPr="002274EB">
        <w:rPr>
          <w:rFonts w:asciiTheme="minorHAnsi" w:hAnsiTheme="minorHAnsi"/>
        </w:rPr>
        <w:t xml:space="preserve">A third major takeaway from this case study is that the investment in automation and deployment infrastructure is essential for growth. This is </w:t>
      </w:r>
      <w:r w:rsidR="00124335">
        <w:rPr>
          <w:rFonts w:asciiTheme="minorHAnsi" w:hAnsiTheme="minorHAnsi"/>
        </w:rPr>
        <w:t>a core</w:t>
      </w:r>
      <w:r w:rsidRPr="002274EB">
        <w:rPr>
          <w:rFonts w:asciiTheme="minorHAnsi" w:hAnsiTheme="minorHAnsi"/>
        </w:rPr>
        <w:t xml:space="preserve"> idea behind the DevOps model, minimize waste and non-value time</w:t>
      </w:r>
      <w:r w:rsidR="00124335">
        <w:rPr>
          <w:rFonts w:asciiTheme="minorHAnsi" w:hAnsiTheme="minorHAnsi"/>
        </w:rPr>
        <w:t>,</w:t>
      </w:r>
      <w:r w:rsidRPr="002274EB">
        <w:rPr>
          <w:rFonts w:asciiTheme="minorHAnsi" w:hAnsiTheme="minorHAnsi"/>
        </w:rPr>
        <w:t xml:space="preserve"> paired with automation and continuous deployments. </w:t>
      </w:r>
      <w:r w:rsidRPr="002274EB">
        <w:rPr>
          <w:rFonts w:asciiTheme="minorHAnsi" w:hAnsiTheme="minorHAnsi"/>
        </w:rPr>
        <w:t xml:space="preserve">Prior to </w:t>
      </w:r>
      <w:proofErr w:type="spellStart"/>
      <w:r w:rsidRPr="002274EB">
        <w:rPr>
          <w:rFonts w:asciiTheme="minorHAnsi" w:hAnsiTheme="minorHAnsi"/>
        </w:rPr>
        <w:t>InVersion</w:t>
      </w:r>
      <w:proofErr w:type="spellEnd"/>
      <w:r w:rsidRPr="002274EB">
        <w:rPr>
          <w:rFonts w:asciiTheme="minorHAnsi" w:hAnsiTheme="minorHAnsi"/>
        </w:rPr>
        <w:t xml:space="preserve">, LinkedIn’s bi-weekly releases were painful and error-prone, contributing heavily to system instability. By dedicating the freeze period to building automated testing, continuous deployment pipelines, and safer service architectures, the team created mechanisms that made future changes faster, safer, and less disruptive. </w:t>
      </w:r>
      <w:r w:rsidRPr="002274EB">
        <w:rPr>
          <w:rFonts w:asciiTheme="minorHAnsi" w:hAnsiTheme="minorHAnsi"/>
        </w:rPr>
        <w:t xml:space="preserve">This </w:t>
      </w:r>
      <w:r w:rsidRPr="002274EB">
        <w:rPr>
          <w:rFonts w:asciiTheme="minorHAnsi" w:hAnsiTheme="minorHAnsi"/>
        </w:rPr>
        <w:t>is a prime example of th</w:t>
      </w:r>
      <w:r w:rsidRPr="002274EB">
        <w:rPr>
          <w:rFonts w:asciiTheme="minorHAnsi" w:hAnsiTheme="minorHAnsi"/>
        </w:rPr>
        <w:t>e DevOps</w:t>
      </w:r>
      <w:r w:rsidRPr="002274EB">
        <w:rPr>
          <w:rFonts w:asciiTheme="minorHAnsi" w:hAnsiTheme="minorHAnsi"/>
        </w:rPr>
        <w:t xml:space="preserve"> strategy working in the real world.</w:t>
      </w:r>
    </w:p>
    <w:p w14:paraId="33A5D954" w14:textId="77777777" w:rsidR="00124335" w:rsidRDefault="00124335" w:rsidP="002274EB">
      <w:pPr>
        <w:pStyle w:val="NormalWeb"/>
        <w:rPr>
          <w:rFonts w:asciiTheme="minorHAnsi" w:hAnsiTheme="minorHAnsi"/>
        </w:rPr>
      </w:pPr>
    </w:p>
    <w:p w14:paraId="20393C2A" w14:textId="0151EBFC" w:rsidR="00124335" w:rsidRDefault="00124335" w:rsidP="002274EB">
      <w:pPr>
        <w:pStyle w:val="NormalWeb"/>
        <w:rPr>
          <w:rFonts w:asciiTheme="minorHAnsi" w:hAnsiTheme="minorHAnsi"/>
        </w:rPr>
      </w:pPr>
      <w:r>
        <w:rPr>
          <w:rFonts w:asciiTheme="minorHAnsi" w:hAnsiTheme="minorHAnsi"/>
        </w:rPr>
        <w:t>Sources:</w:t>
      </w:r>
    </w:p>
    <w:p w14:paraId="4157E068" w14:textId="0F45321D" w:rsidR="00124335" w:rsidRPr="00124335" w:rsidRDefault="00124335" w:rsidP="00124335">
      <w:pPr>
        <w:spacing w:after="0" w:line="240" w:lineRule="auto"/>
        <w:rPr>
          <w:rFonts w:eastAsia="Times New Roman" w:cs="Times New Roman"/>
          <w:kern w:val="0"/>
          <w14:ligatures w14:val="none"/>
        </w:rPr>
      </w:pPr>
      <w:r w:rsidRPr="00124335">
        <w:rPr>
          <w:rFonts w:eastAsia="Times New Roman" w:cs="Times New Roman"/>
          <w:kern w:val="0"/>
          <w14:ligatures w14:val="none"/>
        </w:rPr>
        <w:t>Kim, G., Humble, J., Debois, P., &amp; Willis, J. (2016).</w:t>
      </w:r>
      <w:r w:rsidRPr="00124335">
        <w:rPr>
          <w:rFonts w:eastAsia="Times New Roman" w:cs="Times New Roman"/>
          <w:i/>
          <w:iCs/>
          <w:kern w:val="0"/>
          <w14:ligatures w14:val="none"/>
        </w:rPr>
        <w:t xml:space="preserve"> The DevOps Handbook. </w:t>
      </w:r>
      <w:r w:rsidRPr="00124335">
        <w:rPr>
          <w:rFonts w:eastAsia="Times New Roman" w:cs="Times New Roman"/>
          <w:kern w:val="0"/>
          <w14:ligatures w14:val="none"/>
        </w:rPr>
        <w:t xml:space="preserve">IT Revolution Press. Chapter 6. </w:t>
      </w:r>
    </w:p>
    <w:p w14:paraId="5378C5DD" w14:textId="6FE03646" w:rsidR="00124335" w:rsidRPr="002274EB" w:rsidRDefault="00124335" w:rsidP="00124335">
      <w:pPr>
        <w:pStyle w:val="NormalWeb"/>
        <w:rPr>
          <w:rFonts w:asciiTheme="minorHAnsi" w:hAnsiTheme="minorHAnsi"/>
        </w:rPr>
      </w:pPr>
    </w:p>
    <w:p w14:paraId="628EA57C" w14:textId="0E187AEB" w:rsidR="002274EB" w:rsidRPr="002274EB" w:rsidRDefault="002274EB" w:rsidP="002274EB">
      <w:pPr>
        <w:pStyle w:val="NormalWeb"/>
        <w:rPr>
          <w:rFonts w:asciiTheme="minorHAnsi" w:hAnsiTheme="minorHAnsi"/>
        </w:rPr>
      </w:pPr>
    </w:p>
    <w:p w14:paraId="5842426A" w14:textId="45C638A4" w:rsidR="00201BC4" w:rsidRPr="002274EB" w:rsidRDefault="00201BC4" w:rsidP="00201BC4">
      <w:pPr>
        <w:pStyle w:val="NormalWeb"/>
        <w:rPr>
          <w:rFonts w:asciiTheme="minorHAnsi" w:hAnsiTheme="minorHAnsi"/>
        </w:rPr>
      </w:pPr>
    </w:p>
    <w:p w14:paraId="505236D7" w14:textId="2C66C20F" w:rsidR="007D21D0" w:rsidRPr="002274EB" w:rsidRDefault="007D21D0" w:rsidP="007D21D0">
      <w:pPr>
        <w:pStyle w:val="NormalWeb"/>
        <w:rPr>
          <w:rFonts w:asciiTheme="minorHAnsi" w:hAnsiTheme="minorHAnsi"/>
        </w:rPr>
      </w:pPr>
    </w:p>
    <w:p w14:paraId="373129E6" w14:textId="77777777" w:rsidR="007D21D0" w:rsidRPr="007D21D0" w:rsidRDefault="007D21D0" w:rsidP="007D21D0">
      <w:pPr>
        <w:pStyle w:val="NormalWeb"/>
        <w:rPr>
          <w:rFonts w:asciiTheme="minorHAnsi" w:hAnsiTheme="minorHAnsi"/>
        </w:rPr>
      </w:pPr>
    </w:p>
    <w:p w14:paraId="20AD32EF" w14:textId="77777777" w:rsidR="007D21D0" w:rsidRPr="007D21D0" w:rsidRDefault="007D21D0" w:rsidP="007D21D0">
      <w:pPr>
        <w:pStyle w:val="NormalWeb"/>
        <w:rPr>
          <w:rFonts w:asciiTheme="minorHAnsi" w:hAnsiTheme="minorHAnsi"/>
        </w:rPr>
      </w:pPr>
    </w:p>
    <w:p w14:paraId="7A93A43C" w14:textId="77777777" w:rsidR="007D21D0" w:rsidRPr="007D21D0" w:rsidRDefault="007D21D0" w:rsidP="007D21D0">
      <w:pPr>
        <w:pStyle w:val="NormalWeb"/>
        <w:rPr>
          <w:rFonts w:asciiTheme="minorHAnsi" w:hAnsiTheme="minorHAnsi"/>
        </w:rPr>
      </w:pPr>
    </w:p>
    <w:p w14:paraId="4B9257D0" w14:textId="6733865C" w:rsidR="001A791E" w:rsidRDefault="007D21D0" w:rsidP="001A791E">
      <w:r>
        <w:t xml:space="preserve"> </w:t>
      </w:r>
    </w:p>
    <w:sectPr w:rsidR="001A7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91E"/>
    <w:rsid w:val="00014B75"/>
    <w:rsid w:val="0008073D"/>
    <w:rsid w:val="00124335"/>
    <w:rsid w:val="001A791E"/>
    <w:rsid w:val="00201BC4"/>
    <w:rsid w:val="002274EB"/>
    <w:rsid w:val="005B6416"/>
    <w:rsid w:val="005D1B5F"/>
    <w:rsid w:val="005E79D9"/>
    <w:rsid w:val="007D21D0"/>
    <w:rsid w:val="00840B01"/>
    <w:rsid w:val="00B513A8"/>
    <w:rsid w:val="00BF70EA"/>
    <w:rsid w:val="00E44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DEE16C"/>
  <w15:chartTrackingRefBased/>
  <w15:docId w15:val="{DE121BE8-4415-8F47-BEA4-8EFE302C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91E"/>
    <w:rPr>
      <w:rFonts w:eastAsiaTheme="majorEastAsia" w:cstheme="majorBidi"/>
      <w:color w:val="272727" w:themeColor="text1" w:themeTint="D8"/>
    </w:rPr>
  </w:style>
  <w:style w:type="paragraph" w:styleId="Title">
    <w:name w:val="Title"/>
    <w:basedOn w:val="Normal"/>
    <w:next w:val="Normal"/>
    <w:link w:val="TitleChar"/>
    <w:uiPriority w:val="10"/>
    <w:qFormat/>
    <w:rsid w:val="001A7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91E"/>
    <w:pPr>
      <w:spacing w:before="160"/>
      <w:jc w:val="center"/>
    </w:pPr>
    <w:rPr>
      <w:i/>
      <w:iCs/>
      <w:color w:val="404040" w:themeColor="text1" w:themeTint="BF"/>
    </w:rPr>
  </w:style>
  <w:style w:type="character" w:customStyle="1" w:styleId="QuoteChar">
    <w:name w:val="Quote Char"/>
    <w:basedOn w:val="DefaultParagraphFont"/>
    <w:link w:val="Quote"/>
    <w:uiPriority w:val="29"/>
    <w:rsid w:val="001A791E"/>
    <w:rPr>
      <w:i/>
      <w:iCs/>
      <w:color w:val="404040" w:themeColor="text1" w:themeTint="BF"/>
    </w:rPr>
  </w:style>
  <w:style w:type="paragraph" w:styleId="ListParagraph">
    <w:name w:val="List Paragraph"/>
    <w:basedOn w:val="Normal"/>
    <w:uiPriority w:val="34"/>
    <w:qFormat/>
    <w:rsid w:val="001A791E"/>
    <w:pPr>
      <w:ind w:left="720"/>
      <w:contextualSpacing/>
    </w:pPr>
  </w:style>
  <w:style w:type="character" w:styleId="IntenseEmphasis">
    <w:name w:val="Intense Emphasis"/>
    <w:basedOn w:val="DefaultParagraphFont"/>
    <w:uiPriority w:val="21"/>
    <w:qFormat/>
    <w:rsid w:val="001A791E"/>
    <w:rPr>
      <w:i/>
      <w:iCs/>
      <w:color w:val="0F4761" w:themeColor="accent1" w:themeShade="BF"/>
    </w:rPr>
  </w:style>
  <w:style w:type="paragraph" w:styleId="IntenseQuote">
    <w:name w:val="Intense Quote"/>
    <w:basedOn w:val="Normal"/>
    <w:next w:val="Normal"/>
    <w:link w:val="IntenseQuoteChar"/>
    <w:uiPriority w:val="30"/>
    <w:qFormat/>
    <w:rsid w:val="001A7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91E"/>
    <w:rPr>
      <w:i/>
      <w:iCs/>
      <w:color w:val="0F4761" w:themeColor="accent1" w:themeShade="BF"/>
    </w:rPr>
  </w:style>
  <w:style w:type="character" w:styleId="IntenseReference">
    <w:name w:val="Intense Reference"/>
    <w:basedOn w:val="DefaultParagraphFont"/>
    <w:uiPriority w:val="32"/>
    <w:qFormat/>
    <w:rsid w:val="001A791E"/>
    <w:rPr>
      <w:b/>
      <w:bCs/>
      <w:smallCaps/>
      <w:color w:val="0F4761" w:themeColor="accent1" w:themeShade="BF"/>
      <w:spacing w:val="5"/>
    </w:rPr>
  </w:style>
  <w:style w:type="paragraph" w:styleId="NormalWeb">
    <w:name w:val="Normal (Web)"/>
    <w:basedOn w:val="Normal"/>
    <w:uiPriority w:val="99"/>
    <w:semiHidden/>
    <w:unhideWhenUsed/>
    <w:rsid w:val="007D21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43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Atkinson</dc:creator>
  <cp:keywords/>
  <dc:description/>
  <cp:lastModifiedBy>Joel Atkinson</cp:lastModifiedBy>
  <cp:revision>2</cp:revision>
  <dcterms:created xsi:type="dcterms:W3CDTF">2026-01-15T22:41:00Z</dcterms:created>
  <dcterms:modified xsi:type="dcterms:W3CDTF">2026-01-15T22:41:00Z</dcterms:modified>
</cp:coreProperties>
</file>