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Zomato Restaurant Analysis</w:t>
      </w:r>
    </w:p>
    <w:p>
      <w:r>
        <w:rPr>
          <w:b/>
          <w:sz w:val="24"/>
        </w:rPr>
        <w:t>Power BI Report Summary</w:t>
      </w:r>
    </w:p>
    <w:p>
      <w:r>
        <w:rPr>
          <w:b/>
          <w:sz w:val="24"/>
        </w:rPr>
        <w:t>Data Model and Report Structure</w:t>
      </w:r>
    </w:p>
    <w:p>
      <w:r>
        <w:t>This project analyzes a Zomato restaurant dataset covering 8,916 restaurants across 15 countries. I modeled the data as a star schema with two dimension tables, Dim_Country and Dim_Cuisines, related to a Fact_Restaurants table, so that country and cuisine attributes could filter restaurant-level measures without duplicating data. A third reference table, Dim_Currency, was added during revision to convert cost into a single currency; it joins to the fact table on country code and is described in the Cost and Services section. The report is built across four pages: Overview, Ratings Analysis, Cost and Services, and Cuisines. Custom measures include Restaurant Count, Average Rating, Average Cost, Average Cost USD, Cuisine Count, percent of grand total restaurant count, and a Rating Color field used to group restaurants into rating bands.</w:t>
      </w:r>
    </w:p>
    <w:p>
      <w:r>
        <w:rPr>
          <w:b/>
          <w:sz w:val="24"/>
        </w:rPr>
        <w:t>Global Distribution</w:t>
      </w:r>
    </w:p>
    <w:p>
      <w:r>
        <w:t>The dataset is heavily concentrated in one market. India accounts for 8,026 of the 8,916 restaurants, or approximately 90 percent of all records. The United States is the second largest market with 425 restaurants, followed by the United Kingdom with 80. Ten of the fifteen countries contribute fewer than 65 restaurants each, and Canada contributes only four.</w:t>
      </w:r>
    </w:p>
    <w:p>
      <w:r>
        <w:t>This concentration is the most important thing to understand before reading any other result in the report. Figures presented as global averages are, in practice, close to Indian averages with a small international tail attached. Any conclusion drawn at the global level should either be stated as a conclusion about India or recalculated within individual countries.</w:t>
      </w:r>
    </w:p>
    <w:p>
      <w:r>
        <w:rPr>
          <w:b/>
          <w:sz w:val="24"/>
        </w:rPr>
        <w:t>Ratings</w:t>
      </w:r>
    </w:p>
    <w:p>
      <w:r>
        <w:t>The average rating across the dataset is 2.67 out of 5. Grouping restaurants by rating band shows that 39.23 percent fall in the Orange band and 21.48 percent in Yellow, with 11.53 percent in Green and 3.31 percent in Dark Green. A further 22.43 percent fall into the White band, which in this dataset indicates a restaurant that has not been rated. The bands are assigned by a Rating Color calculated column using inclusive lower bounds throughout, so a restaurant rated exactly 4.5 is Dark Green rather than Green.</w:t>
      </w:r>
    </w:p>
    <w:p>
      <w:r>
        <w:t>That unrated group matters for interpretation. If restaurants with no rating are carried into the average as zeros, they pull the overall figure down, and the 2.67 average understates the typical rated restaurant. A more accurate measure would exclude unrated restaurants from the average and report the count of unrated restaurants separately.</w:t>
      </w:r>
    </w:p>
    <w:p>
      <w:r>
        <w:rPr>
          <w:b/>
          <w:sz w:val="24"/>
        </w:rPr>
        <w:t>Cost and Services</w:t>
      </w:r>
    </w:p>
    <w:p>
      <w:r>
        <w:t>Average cost varied enormously by country in the original build, from 24.08 in Australia to 281,190.48 in Indonesia, a spread of roughly 11,700 to 1. That was not a real difference in what dining costs. The cost field in the source data is recorded in each country’s local currency and was not converted to a common unit, so countries with low-denomination currencies such as the Indonesian Rupiah and the Sri Lankan Rupee produced very large numbers, while countries using the Australian dollar and the US dollar produced small ones. The Average Cost by Country visual was displaying exchange rates rather than restaurant pricing. I did not catch this while building the report. I found it reviewing the finished work as a reader rather than as its author.</w:t>
      </w:r>
    </w:p>
    <w:p>
      <w:r>
        <w:t>This has been corrected. Cost is now converted to US dollars at 2019 annual average exchange rates, and the same spread runs from 8.33 in India to 114.19 in Singapore, or about 13 to 1. The dataset-wide average cost for two is 10.90 US dollars, close to the Indian figure because 90 percent of the restaurants are Indian. India is the cheapest market in the dataset, which the original chart concealed entirely. Three visuals were carrying the defect rather than one: the Average Cost by Country chart, the Cost and Count by Location matrix, and the Average Cost for Two card on the Overview page. That card was the most dangerous of the three, because it presented a mixed-currency average with a dollar sign in front of it and looked entirely reasonable.</w:t>
      </w:r>
    </w:p>
    <w:p>
      <w:r>
        <w:t>The conversion uses 2019 annual average rates, calculated as the mean of the twelve 2019 monthly averages, because the dataset is a 2019 snapshot covering a full year and current rates would carry seven years of drift. Nine currencies come from the Federal Reserve H.10 release accessed through FRED. Three, the Indonesian Rupiah, Philippine Peso and Turkish Lira, come from European Central Bank daily reference rates averaged across all 255 published 2019 rate days, because the Federal Reserve does not publish those three. The UAE Dirham and Qatari Riyal are pegged to the US dollar at 3.6725 and 3.64 rather than floating, so no averaging applies. I validated the calculated rates against independent published figures before using them: my 2019 rupee average of 70.4041 agrees with the World Bank figure of 70.42, and my Philippine peso average of 51.7938 agrees with an independently published 51.7675. Every rate, its source and its quote direction are recorded in Dim_Currency.xlsx.</w:t>
      </w:r>
    </w:p>
    <w:p>
      <w:r>
        <w:t>Building the conversion table exposed two further defects in the source data. The currency label Dollar($) is shared by the United States, Australia, Singapore and Canada, which are four different currencies under one name, so a conversion table joined on currency would have converted all four at the US dollar rate and left three of them silently wrong. The join is therefore on country code. Separately, the 22 Philippines restaurants are labelled Botswana Pula(P), a currency the Philippines has never used. Converting at the pula rate implies an average meal for two of 151.59 US dollars in Manila, against 31.02 at the peso rate, so I treated the label as a source error and converted at the Philippine peso rate.</w:t>
      </w:r>
    </w:p>
    <w:p>
      <w:r>
        <w:t>Two caveats remain on the converted figures. A single annual average rate ignores intra-year currency movement, which matters most for the Turkish Lira, the currency that moved most across 2019. And the country samples outside India are small enough that one expensive restaurant moves the average, which is why Singapore’s 114.19 rests on 20 restaurants and should be read with that in mind.</w:t>
      </w:r>
    </w:p>
    <w:p>
      <w:r>
        <w:t>Price range, which is a normalized 1 to 4 band rather than a raw currency amount, does support cross-country comparison, and it produced the clearest behavioral finding in the report. Online delivery availability is not highest among the cheapest restaurants as might be expected. It peaks in the second price tier, where roughly 41 percent of restaurants offer online delivery, compared with roughly 17 percent in the lowest tier, 31 percent in the third, and 20 percent in the highest.</w:t>
      </w:r>
    </w:p>
    <w:p>
      <w:r>
        <w:t>A plausible reading is that restaurants at the lowest price point cannot absorb delivery costs against a small average ticket, and restaurants at the highest price point choose not to use the channel, leaving mid-priced restaurants as the segment where delivery is most viable. For a platform like Zomato, that suggests delivery partnership efforts return the most in the middle of the market rather than at either end.</w:t>
      </w:r>
    </w:p>
    <w:p>
      <w:r>
        <w:rPr>
          <w:b/>
          <w:sz w:val="24"/>
        </w:rPr>
        <w:t>Cuisines</w:t>
      </w:r>
    </w:p>
    <w:p>
      <w:r>
        <w:t>The Cuisines page breaks cuisine counts down by continent and country, showing which cuisine combinations appear most frequently in each market. Given the concentration noted above, the cuisine distribution is dominated by Indian regional combinations, with North American, European, and Middle Eastern markets contributing much smaller and more varied sets.</w:t>
      </w:r>
    </w:p>
    <w:p>
      <w:r>
        <w:rPr>
          <w:b/>
          <w:sz w:val="24"/>
        </w:rPr>
        <w:t>Data Quality and Limitations</w:t>
      </w:r>
    </w:p>
    <w:p>
      <w:r>
        <w:t>Three limitations should be stated alongside any use of this report. First, the sample is approximately 90 percent Indian, so global figures are not globally representative. Second, cost is now converted to US dollars at 2019 annual average rates, so cross-country comparison is valid, but the conversion carries the assumptions described above and the non-Indian country samples are small. Third, roughly 22 percent of restaurants are unrated, and the treatment of those records materially affects the average rating.</w:t>
      </w:r>
    </w:p>
    <w:p>
      <w:r>
        <w:rPr>
          <w:b/>
          <w:sz w:val="24"/>
        </w:rPr>
        <w:t>Overall</w:t>
      </w:r>
    </w:p>
    <w:p>
      <w:r>
        <w:t>The report gives a working view of restaurant distribution, ratings, pricing tiers, and service availability across the Zomato dataset, and the price range analysis produced a usable finding about where online delivery is most common. The more valuable outcome of the project was the currency work. I built the report, reviewed my own finished output as an outsider would, found a chart that was confidently wrong, and then corrected it: sourcing rates from central bank data, validating them against independent published figures, and uncovering two further label defects in the source along the way. A number that looks plausible and is wrong is harder to catch than a number that looks broken, and the Average Cost for Two card, a mixed-currency average displayed with a dollar sign, is the example I would give.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Zomato Restaurant Analysis: Power BI Report Summary</dc:title>
  <dc:subject/>
  <dc:creator>Joelle Spiegel</dc:creator>
  <cp:keywords/>
  <dc:description>generated by python-docx</dc:description>
  <cp:lastModifiedBy>Joelle Spiegel</cp:lastModifiedBy>
  <cp:revision>1</cp:revision>
  <dcterms:created xsi:type="dcterms:W3CDTF">2013-12-23T23:15:00Z</dcterms:created>
  <dcterms:modified xsi:type="dcterms:W3CDTF">2013-12-23T23:15:00Z</dcterms:modified>
  <cp:category/>
</cp:coreProperties>
</file>