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Orden de Pago / Cuenta de Cobro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Fecha: 31 de julio de 2025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Nombre del contratista: Joel Lizarazo Gutiérrez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Cédula de ciudadanía: 1004914530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Correo electrónico: endersonjoellg@ufps.edu.co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Valor a cobrar: $400.000 COP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Periodo de trabajo: Semana del 23 al 30 de julio de 2025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Forma de pago: Transferencia bancaria</w:t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Detalle de actividades realizadas: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Exploración e integración de MedGemma y OpenEMR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Exploración de la implementación de MedGemma en un producto como DocVoice.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Revisión de NoaNotes (Doctoralia) y herramientas similares.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Definición de requisitos técnicos para integración con OpenEMR.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Evaluación de herramientas de STT (Whisper, Google STT).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Definición de estructura mínima del output clínico (nota tipo SOAP).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Entregable: Documento funcional v1 y propuesta de arquitectura base.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 Técnica - Entrega del proyecto Clevi al Instituto Comfanorte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Documentación de modelo entidad-relación.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Descripción de API/endpoints usados: datos enviados y recibidos.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Descripción de arquitectura (MVC), tecnologías de backend y frontend.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Identificación de bibliotecas de componentes de UI utilizadas.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Mejoras y despliegue de Bitácora Jurídica (Sistema Renovado)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Desarrollo de formulario público automatizado para procesos externos.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Implementación de alertas/notificaciones automáticas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Mejora de seguridad en consultas (consultas preparadas).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Despliegue del sistema Bitácora en servidor SSD.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Integración del botón de Bitácora en la página principal de SSD.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Total a pagar: $400.000 COP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519113</wp:posOffset>
            </wp:positionH>
            <wp:positionV relativeFrom="paragraph">
              <wp:posOffset>390525</wp:posOffset>
            </wp:positionV>
            <wp:extent cx="1443038" cy="5429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Firma: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Joel Lizarazo Gutiérrez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vaV0YdfqGWIPoO12JIHz9AvVvA==">CgMxLjA4AHIhMVRGcWVUMEJlczh4RGhTSVBwWjZ6cURxMFJQR2ZQZmJs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