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0"/>
        <w:jc w:val="center"/>
        <w:rPr>
          <w:rFonts w:ascii="微软雅黑" w:hAnsi="微软雅黑" w:eastAsia="微软雅黑" w:cs="微软雅黑"/>
        </w:rPr>
      </w:pPr>
      <w:bookmarkStart w:id="0" w:name="_Toc108490480"/>
      <w:bookmarkStart w:id="1" w:name="_Toc109741645"/>
      <w:r>
        <w:rPr>
          <w:rFonts w:hint="eastAsia" w:ascii="微软雅黑" w:hAnsi="微软雅黑" w:eastAsia="微软雅黑" w:cs="微软雅黑"/>
        </w:rPr>
        <w:t xml:space="preserve">第一部分 </w:t>
      </w:r>
      <w:bookmarkEnd w:id="0"/>
      <w:r>
        <w:rPr>
          <w:rFonts w:hint="eastAsia" w:ascii="微软雅黑" w:hAnsi="微软雅黑" w:eastAsia="微软雅黑" w:cs="微软雅黑"/>
        </w:rPr>
        <w:t>生理学</w:t>
      </w:r>
      <w:bookmarkEnd w:id="1"/>
    </w:p>
    <w:p>
      <w:pPr>
        <w:pStyle w:val="3"/>
        <w:ind w:firstLine="640"/>
        <w:rPr>
          <w:rFonts w:ascii="微软雅黑" w:hAnsi="微软雅黑" w:eastAsia="微软雅黑" w:cs="微软雅黑"/>
        </w:rPr>
      </w:pPr>
      <w:bookmarkStart w:id="2" w:name="_Toc109741646"/>
      <w:r>
        <w:rPr>
          <w:rFonts w:hint="eastAsia" w:ascii="微软雅黑" w:hAnsi="微软雅黑" w:eastAsia="微软雅黑" w:cs="微软雅黑"/>
        </w:rPr>
        <w:t>一、绪论</w:t>
      </w:r>
      <w:bookmarkEnd w:id="2"/>
    </w:p>
    <w:p>
      <w:pPr>
        <w:pStyle w:val="7"/>
        <w:ind w:left="720" w:firstLine="0" w:firstLineChars="0"/>
        <w:jc w:val="center"/>
      </w:pPr>
      <w:r>
        <w:rPr>
          <w:rFonts w:hint="eastAsia"/>
        </w:rPr>
        <w:drawing>
          <wp:inline distT="0" distB="0" distL="0" distR="0">
            <wp:extent cx="3424555" cy="207581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41138" cy="2085896"/>
                    </a:xfrm>
                    <a:prstGeom prst="rect">
                      <a:avLst/>
                    </a:prstGeom>
                  </pic:spPr>
                </pic:pic>
              </a:graphicData>
            </a:graphic>
          </wp:inline>
        </w:drawing>
      </w:r>
    </w:p>
    <w:p>
      <w:pPr>
        <w:pStyle w:val="4"/>
        <w:numPr>
          <w:ilvl w:val="0"/>
          <w:numId w:val="1"/>
        </w:numPr>
        <w:spacing w:line="300" w:lineRule="auto"/>
        <w:ind w:firstLine="643"/>
        <w:rPr>
          <w:rFonts w:ascii="宋体" w:hAnsi="宋体" w:eastAsia="宋体"/>
          <w:szCs w:val="28"/>
        </w:rPr>
      </w:pPr>
      <w:r>
        <w:rPr>
          <w:rFonts w:ascii="宋体" w:hAnsi="宋体" w:eastAsia="宋体"/>
          <w:szCs w:val="28"/>
        </w:rPr>
        <w:t xml:space="preserve"> </w:t>
      </w:r>
      <w:r>
        <w:rPr>
          <w:rFonts w:hint="eastAsia" w:ascii="宋体" w:hAnsi="宋体" w:eastAsia="宋体" w:cs="微软雅黑"/>
          <w:szCs w:val="28"/>
        </w:rPr>
        <w:t xml:space="preserve">内环境和稳态 </w:t>
      </w:r>
    </w:p>
    <w:p>
      <w:pPr>
        <w:pStyle w:val="7"/>
        <w:numPr>
          <w:ilvl w:val="0"/>
          <w:numId w:val="2"/>
        </w:numPr>
        <w:ind w:firstLineChars="0"/>
        <w:rPr>
          <w:rFonts w:ascii="宋体" w:hAnsi="宋体" w:eastAsia="宋体"/>
        </w:rPr>
      </w:pPr>
      <w:r>
        <w:rPr>
          <w:rFonts w:hint="eastAsia" w:ascii="宋体" w:hAnsi="宋体" w:eastAsia="宋体" w:cs="微软雅黑"/>
          <w:b/>
          <w:bCs/>
        </w:rPr>
        <w:t>内环境</w:t>
      </w:r>
      <w:r>
        <w:rPr>
          <w:rFonts w:hint="eastAsia" w:ascii="宋体" w:hAnsi="宋体" w:eastAsia="宋体" w:cs="微软雅黑"/>
        </w:rPr>
        <w:t>：体内各种组织细胞直接接触并赖以生存的环境称为内环境。</w:t>
      </w:r>
    </w:p>
    <w:p>
      <w:pPr>
        <w:ind w:firstLine="480"/>
        <w:rPr>
          <w:rFonts w:ascii="宋体" w:hAnsi="宋体" w:eastAsia="宋体" w:cs="微软雅黑"/>
        </w:rPr>
      </w:pPr>
      <w:r>
        <w:rPr>
          <w:rFonts w:ascii="宋体" w:hAnsi="宋体" w:eastAsia="宋体" w:cs="Cambria Math"/>
        </w:rPr>
        <w:t>①</w:t>
      </w:r>
      <w:r>
        <w:rPr>
          <w:rFonts w:hint="eastAsia" w:ascii="宋体" w:hAnsi="宋体" w:eastAsia="宋体" w:cs="微软雅黑"/>
        </w:rPr>
        <w:t>内环境</w:t>
      </w:r>
      <w:r>
        <w:rPr>
          <w:rFonts w:hint="eastAsia" w:ascii="宋体" w:hAnsi="宋体" w:eastAsia="宋体"/>
        </w:rPr>
        <w:t>=</w:t>
      </w:r>
      <w:r>
        <w:rPr>
          <w:rFonts w:hint="eastAsia" w:ascii="宋体" w:hAnsi="宋体" w:eastAsia="宋体" w:cs="微软雅黑"/>
        </w:rPr>
        <w:t>细胞外液；</w:t>
      </w:r>
      <w:r>
        <w:rPr>
          <w:rFonts w:ascii="宋体" w:hAnsi="宋体" w:eastAsia="宋体" w:cs="Cambria Math"/>
        </w:rPr>
        <w:t>②</w:t>
      </w:r>
      <w:r>
        <w:rPr>
          <w:rFonts w:hint="eastAsia" w:ascii="宋体" w:hAnsi="宋体" w:eastAsia="宋体" w:cs="微软雅黑"/>
        </w:rPr>
        <w:t>血浆是最活跃部分；</w:t>
      </w:r>
      <w:r>
        <w:rPr>
          <w:rFonts w:ascii="宋体" w:hAnsi="宋体" w:eastAsia="宋体" w:cs="Cambria Math"/>
        </w:rPr>
        <w:t>③</w:t>
      </w:r>
      <w:r>
        <w:rPr>
          <w:rFonts w:hint="eastAsia" w:ascii="宋体" w:hAnsi="宋体" w:eastAsia="宋体" w:cs="微软雅黑"/>
        </w:rPr>
        <w:t>各部分体液彼此隔开又相互沟通；</w:t>
      </w:r>
    </w:p>
    <w:p>
      <w:pPr>
        <w:ind w:firstLine="480"/>
        <w:rPr>
          <w:rFonts w:ascii="宋体" w:hAnsi="宋体" w:eastAsia="宋体" w:cs="微软雅黑"/>
        </w:rPr>
      </w:pPr>
      <w:r>
        <w:rPr>
          <w:rFonts w:ascii="宋体" w:hAnsi="宋体" w:eastAsia="宋体" w:cs="Cambria Math"/>
        </w:rPr>
        <w:t>④</w:t>
      </w:r>
      <w:r>
        <w:rPr>
          <w:rFonts w:hint="eastAsia" w:ascii="宋体" w:hAnsi="宋体" w:eastAsia="宋体" w:cs="微软雅黑"/>
        </w:rPr>
        <w:t>部分体液量不等，各部分体液成分有差异；</w:t>
      </w:r>
    </w:p>
    <w:p>
      <w:pPr>
        <w:ind w:firstLine="480"/>
        <w:rPr>
          <w:rFonts w:ascii="宋体" w:hAnsi="宋体" w:eastAsia="宋体" w:cs="微软雅黑"/>
        </w:rPr>
      </w:pPr>
      <w:r>
        <w:rPr>
          <w:rFonts w:ascii="宋体" w:hAnsi="宋体" w:eastAsia="宋体" w:cs="Cambria Math"/>
        </w:rPr>
        <w:t>⑤</w:t>
      </w:r>
      <w:r>
        <w:rPr>
          <w:rFonts w:hint="eastAsia" w:ascii="宋体" w:hAnsi="宋体" w:eastAsia="宋体" w:cs="微软雅黑"/>
        </w:rPr>
        <w:t>胃，肠道，汗腺，尿管，膀胱等内部液体与外界相通，不属于内环境。</w:t>
      </w:r>
    </w:p>
    <w:p>
      <w:pPr>
        <w:ind w:firstLine="480"/>
        <w:rPr>
          <w:rFonts w:ascii="宋体" w:hAnsi="宋体" w:eastAsia="宋体"/>
        </w:rPr>
      </w:pPr>
    </w:p>
    <w:p>
      <w:pPr>
        <w:pStyle w:val="7"/>
        <w:numPr>
          <w:ilvl w:val="0"/>
          <w:numId w:val="2"/>
        </w:numPr>
        <w:ind w:firstLineChars="0"/>
        <w:rPr>
          <w:rFonts w:ascii="宋体" w:hAnsi="宋体" w:eastAsia="宋体"/>
        </w:rPr>
      </w:pPr>
      <w:r>
        <w:rPr>
          <w:rFonts w:hint="eastAsia" w:ascii="宋体" w:hAnsi="宋体" w:eastAsia="宋体" w:cs="微软雅黑"/>
          <w:b/>
          <w:bCs/>
        </w:rPr>
        <w:t>稳态</w:t>
      </w:r>
      <w:r>
        <w:rPr>
          <w:rFonts w:hint="eastAsia" w:ascii="宋体" w:hAnsi="宋体" w:eastAsia="宋体" w:cs="微软雅黑"/>
        </w:rPr>
        <w:t>：各种理化性质，如温度、酸碱度、渗透压和各种液体成分的相对稳定，可在一定范围内动态变化。</w:t>
      </w:r>
    </w:p>
    <w:p>
      <w:pPr>
        <w:ind w:firstLine="480"/>
        <w:rPr>
          <w:rFonts w:ascii="宋体" w:hAnsi="宋体" w:eastAsia="宋体" w:cs="微软雅黑"/>
        </w:rPr>
      </w:pPr>
      <w:r>
        <w:rPr>
          <w:rFonts w:ascii="宋体" w:hAnsi="宋体" w:eastAsia="宋体" w:cs="Cambria Math"/>
        </w:rPr>
        <w:t>①</w:t>
      </w:r>
      <w:r>
        <w:rPr>
          <w:rFonts w:hint="eastAsia" w:ascii="宋体" w:hAnsi="宋体" w:eastAsia="宋体" w:cs="微软雅黑"/>
        </w:rPr>
        <w:t>是一种动态平衡；</w:t>
      </w:r>
      <w:r>
        <w:rPr>
          <w:rFonts w:ascii="宋体" w:hAnsi="宋体" w:eastAsia="宋体" w:cs="Cambria Math"/>
        </w:rPr>
        <w:t>②</w:t>
      </w:r>
      <w:r>
        <w:rPr>
          <w:rFonts w:hint="eastAsia" w:ascii="宋体" w:hAnsi="宋体" w:eastAsia="宋体" w:cs="微软雅黑"/>
        </w:rPr>
        <w:t>自我调节的结果；</w:t>
      </w:r>
      <w:r>
        <w:rPr>
          <w:rFonts w:ascii="宋体" w:hAnsi="宋体" w:eastAsia="宋体" w:cs="Cambria Math"/>
        </w:rPr>
        <w:t>③</w:t>
      </w:r>
      <w:r>
        <w:rPr>
          <w:rFonts w:hint="eastAsia" w:ascii="宋体" w:hAnsi="宋体" w:eastAsia="宋体" w:cs="微软雅黑"/>
        </w:rPr>
        <w:t>稳态调节都有调定点；</w:t>
      </w:r>
      <w:r>
        <w:rPr>
          <w:rFonts w:ascii="宋体" w:hAnsi="宋体" w:eastAsia="宋体" w:cs="Cambria Math"/>
        </w:rPr>
        <w:t>④</w:t>
      </w:r>
      <w:r>
        <w:rPr>
          <w:rFonts w:hint="eastAsia" w:ascii="宋体" w:hAnsi="宋体" w:eastAsia="宋体" w:cs="微软雅黑"/>
        </w:rPr>
        <w:t>维持生命活动的必要条件；</w:t>
      </w:r>
    </w:p>
    <w:p>
      <w:pPr>
        <w:pStyle w:val="4"/>
        <w:numPr>
          <w:ilvl w:val="0"/>
          <w:numId w:val="1"/>
        </w:numPr>
        <w:ind w:firstLine="643"/>
        <w:rPr>
          <w:rFonts w:ascii="宋体" w:hAnsi="宋体" w:eastAsia="宋体"/>
        </w:rPr>
      </w:pPr>
      <w:r>
        <w:rPr>
          <w:rFonts w:ascii="宋体" w:hAnsi="宋体" w:eastAsia="宋体"/>
        </w:rPr>
        <w:t xml:space="preserve"> </w:t>
      </w:r>
      <w:r>
        <w:rPr>
          <w:rFonts w:hint="eastAsia" w:ascii="宋体" w:hAnsi="宋体" w:eastAsia="宋体" w:cs="微软雅黑"/>
        </w:rPr>
        <w:t>细胞结构和功能（见细胞生物学）</w:t>
      </w:r>
    </w:p>
    <w:p>
      <w:pPr>
        <w:pStyle w:val="8"/>
        <w:ind w:firstLine="480"/>
      </w:pPr>
      <w:r>
        <w:t xml:space="preserve"> </w:t>
      </w:r>
      <w:r>
        <w:rPr>
          <w:rFonts w:hint="eastAsia"/>
        </w:rPr>
        <w:t>跨细胞膜的物质转运</w:t>
      </w:r>
    </w:p>
    <w:p>
      <w:pPr>
        <w:pStyle w:val="7"/>
        <w:numPr>
          <w:ilvl w:val="0"/>
          <w:numId w:val="3"/>
        </w:numPr>
        <w:ind w:firstLineChars="0"/>
        <w:rPr>
          <w:rFonts w:ascii="宋体" w:hAnsi="宋体" w:eastAsia="宋体"/>
        </w:rPr>
      </w:pPr>
      <w:r>
        <w:rPr>
          <w:rFonts w:hint="eastAsia" w:ascii="宋体" w:hAnsi="宋体" w:eastAsia="宋体" w:cs="微软雅黑"/>
          <w:b/>
          <w:bCs/>
        </w:rPr>
        <w:t>被动转运</w:t>
      </w:r>
      <w:r>
        <w:rPr>
          <w:rFonts w:ascii="宋体" w:hAnsi="宋体" w:eastAsia="宋体" w:cs="Courier New"/>
        </w:rPr>
        <w:t>——</w:t>
      </w:r>
      <w:r>
        <w:rPr>
          <w:rFonts w:hint="eastAsia" w:ascii="宋体" w:hAnsi="宋体" w:eastAsia="宋体" w:cs="微软雅黑"/>
        </w:rPr>
        <w:t>无需耗能，顺浓度</w:t>
      </w:r>
    </w:p>
    <w:p>
      <w:pPr>
        <w:pStyle w:val="7"/>
        <w:numPr>
          <w:ilvl w:val="0"/>
          <w:numId w:val="4"/>
        </w:numPr>
        <w:ind w:firstLineChars="0"/>
      </w:pPr>
      <w:r>
        <w:rPr>
          <w:rFonts w:hint="eastAsia" w:ascii="宋体" w:hAnsi="宋体" w:eastAsia="宋体" w:cs="微软雅黑"/>
          <w:b/>
          <w:bCs/>
        </w:rPr>
        <w:t>单纯扩散</w:t>
      </w:r>
      <w:r>
        <w:rPr>
          <w:rFonts w:hint="eastAsia" w:ascii="宋体" w:hAnsi="宋体" w:eastAsia="宋体" w:cs="微软雅黑"/>
        </w:rPr>
        <w:t>——</w:t>
      </w:r>
      <w:r>
        <w:rPr>
          <w:rFonts w:ascii="宋体" w:hAnsi="宋体" w:eastAsia="宋体" w:cs="微软雅黑"/>
        </w:rPr>
        <w:t>指物质从质膜的高浓度一侧通过脂质分子间隙向低浓度一侧进行的跨膜扩散</w:t>
      </w:r>
      <w:r>
        <w:rPr>
          <w:rFonts w:hint="eastAsia" w:ascii="宋体" w:hAnsi="宋体" w:eastAsia="宋体" w:cs="微软雅黑"/>
        </w:rPr>
        <w:t>。</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modern"/>
    <w:pitch w:val="default"/>
    <w:sig w:usb0="00000001" w:usb1="02000000" w:usb2="00000000"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B6666"/>
    <w:multiLevelType w:val="multilevel"/>
    <w:tmpl w:val="1DAB6666"/>
    <w:lvl w:ilvl="0" w:tentative="0">
      <w:start w:val="1"/>
      <w:numFmt w:val="decimalEnclosedFullstop"/>
      <w:lvlText w:val="%1"/>
      <w:lvlJc w:val="left"/>
      <w:pPr>
        <w:ind w:left="360" w:hanging="360"/>
      </w:pPr>
      <w:rPr>
        <w:rFonts w:hint="default" w:cs="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5C165E"/>
    <w:multiLevelType w:val="multilevel"/>
    <w:tmpl w:val="205C165E"/>
    <w:lvl w:ilvl="0" w:tentative="0">
      <w:start w:val="1"/>
      <w:numFmt w:val="decimalEnclosedFullstop"/>
      <w:lvlText w:val="%1"/>
      <w:lvlJc w:val="left"/>
      <w:pPr>
        <w:ind w:left="360" w:hanging="360"/>
      </w:pPr>
      <w:rPr>
        <w:rFonts w:hint="default" w:cs="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943A50"/>
    <w:multiLevelType w:val="multilevel"/>
    <w:tmpl w:val="2D943A50"/>
    <w:lvl w:ilvl="0" w:tentative="0">
      <w:start w:val="1"/>
      <w:numFmt w:val="ideographEnclosedCircle"/>
      <w:lvlText w:val="%1"/>
      <w:lvlJc w:val="left"/>
      <w:pPr>
        <w:ind w:left="360" w:hanging="360"/>
      </w:pPr>
      <w:rPr>
        <w:rFonts w:hint="default" w:cs="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390765"/>
    <w:multiLevelType w:val="multilevel"/>
    <w:tmpl w:val="693907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mYjg1MjUwZjgxZDRlY2UzZmFjZTJlZDBiM2FlMDcifQ=="/>
  </w:docVars>
  <w:rsids>
    <w:rsidRoot w:val="00000000"/>
    <w:rsid w:val="1C7643DA"/>
    <w:rsid w:val="505E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0" w:firstLineChars="0"/>
      <w:jc w:val="both"/>
    </w:pPr>
    <w:rPr>
      <w:rFonts w:eastAsia="SimSun-ExtB"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140" w:after="140" w:line="416" w:lineRule="auto"/>
      <w:outlineLvl w:val="1"/>
    </w:pPr>
    <w:rPr>
      <w:rFonts w:asciiTheme="majorHAnsi" w:hAnsiTheme="majorHAnsi" w:cstheme="majorBidi"/>
      <w:b/>
      <w:bCs/>
      <w:sz w:val="30"/>
      <w:szCs w:val="32"/>
    </w:rPr>
  </w:style>
  <w:style w:type="paragraph" w:styleId="4">
    <w:name w:val="heading 3"/>
    <w:basedOn w:val="1"/>
    <w:next w:val="1"/>
    <w:unhideWhenUsed/>
    <w:uiPriority w:val="9"/>
    <w:pPr>
      <w:keepNext/>
      <w:keepLines/>
      <w:spacing w:before="260" w:after="260" w:line="416" w:lineRule="auto"/>
      <w:outlineLvl w:val="2"/>
    </w:pPr>
    <w:rPr>
      <w:b/>
      <w:bCs/>
      <w:sz w:val="28"/>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paragraph" w:customStyle="1" w:styleId="8">
    <w:name w:val="标题3"/>
    <w:basedOn w:val="4"/>
    <w:qFormat/>
    <w:uiPriority w:val="0"/>
    <w:pPr>
      <w:spacing w:before="0" w:after="0"/>
    </w:pPr>
    <w:rPr>
      <w:rFonts w:ascii="宋体" w:hAnsi="宋体" w:eastAsia="宋体" w:cs="微软雅黑"/>
      <w:lang w:eastAsia="zh-Han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301</Words>
  <Characters>301</Characters>
  <Lines>0</Lines>
  <Paragraphs>0</Paragraphs>
  <TotalTime>0</TotalTime>
  <ScaleCrop>false</ScaleCrop>
  <LinksUpToDate>false</LinksUpToDate>
  <CharactersWithSpaces>306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2023-03-01T03:05:45Z</dcterms:created>
  <dc:creator>Panda Qin</dc:creator>
  <cp:lastModifiedBy>查令十字街84号</cp:lastModifiedBy>
  <dcterms:modified xsi:type="dcterms:W3CDTF">2023-03-01T03:05:51Z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F71C2264E68446FCBD066524D546AF8D</vt:lpwstr>
  </property>
</Properties>
</file>