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420" w:firstLine="0" w:firstLineChars="0"/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【</w:t>
      </w:r>
      <w:r>
        <w:rPr>
          <w:rFonts w:hint="eastAsia" w:ascii="宋体" w:hAnsi="宋体" w:eastAsia="宋体"/>
        </w:rPr>
        <w:t>Eg：</w:t>
      </w:r>
      <w:r>
        <w:rPr>
          <w:rFonts w:ascii="宋体" w:hAnsi="宋体" w:eastAsia="宋体" w:cs="Cambria Math"/>
        </w:rPr>
        <w:t>①</w:t>
      </w:r>
      <w:r>
        <w:rPr>
          <w:rFonts w:hint="eastAsia" w:ascii="宋体" w:hAnsi="宋体" w:eastAsia="宋体"/>
        </w:rPr>
        <w:t>类固醇激素：肾上腺皮质激素（束状带：糖皮质激素-皮质醇；球状带：盐皮质激素-醛固醇；网状带：性激素）、维生素D3；</w:t>
      </w:r>
      <w:r>
        <w:rPr>
          <w:rFonts w:ascii="宋体" w:hAnsi="宋体" w:eastAsia="宋体" w:cs="Cambria Math"/>
        </w:rPr>
        <w:t>②</w:t>
      </w:r>
      <w:r>
        <w:rPr>
          <w:rFonts w:hint="eastAsia" w:ascii="宋体" w:hAnsi="宋体" w:eastAsia="宋体"/>
        </w:rPr>
        <w:t>所有气体、乙</w:t>
      </w:r>
      <w:bookmarkStart w:id="0" w:name="_GoBack"/>
      <w:bookmarkEnd w:id="0"/>
      <w:r>
        <w:rPr>
          <w:rFonts w:hint="eastAsia" w:ascii="宋体" w:hAnsi="宋体" w:eastAsia="宋体"/>
        </w:rPr>
        <w:t>醇、尿素、甘油、H</w:t>
      </w:r>
      <w:r>
        <w:rPr>
          <w:rFonts w:hint="eastAsia" w:ascii="宋体" w:hAnsi="宋体" w:eastAsia="宋体"/>
          <w:vertAlign w:val="subscript"/>
        </w:rPr>
        <w:t>2</w:t>
      </w:r>
      <w:r>
        <w:rPr>
          <w:rFonts w:hint="eastAsia" w:ascii="宋体" w:hAnsi="宋体" w:eastAsia="宋体"/>
        </w:rPr>
        <w:t>O</w:t>
      </w:r>
      <w:r>
        <w:rPr>
          <w:rFonts w:ascii="宋体" w:hAnsi="宋体" w:eastAsia="宋体"/>
        </w:rPr>
        <w:t>；</w:t>
      </w:r>
      <w:r>
        <w:rPr>
          <w:rFonts w:hint="eastAsia" w:ascii="宋体" w:hAnsi="宋体" w:eastAsia="宋体"/>
        </w:rPr>
        <w:t>】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  <w:b/>
          <w:bCs/>
        </w:rPr>
        <w:t>经通道易化扩散</w:t>
      </w:r>
      <w:r>
        <w:rPr>
          <w:rFonts w:hint="eastAsia" w:ascii="宋体" w:hAnsi="宋体" w:eastAsia="宋体"/>
        </w:rPr>
        <w:t>（需要通道蛋白）——</w:t>
      </w:r>
      <w:r>
        <w:rPr>
          <w:rFonts w:ascii="宋体" w:hAnsi="宋体" w:eastAsia="宋体"/>
        </w:rPr>
        <w:t>各种带电离子在通道蛋白的介导下，顺浓度梯度和(或)电位梯度的跨膜</w:t>
      </w:r>
      <w:r>
        <w:rPr>
          <w:rFonts w:hint="eastAsia" w:ascii="宋体" w:hAnsi="宋体" w:eastAsia="宋体" w:cs="微软雅黑"/>
        </w:rPr>
        <w:t>转运。</w:t>
      </w:r>
    </w:p>
    <w:p>
      <w:pPr>
        <w:pStyle w:val="4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【Eg：①离子通道；②水通道（肾小管重吸收水）；③骨骼肌终板膜N2型胆碱能受体（即使受体又是阳离子通道）；】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  <w:b/>
          <w:bCs/>
        </w:rPr>
        <w:t>经载体易化扩散</w:t>
      </w:r>
      <w:r>
        <w:rPr>
          <w:rFonts w:hint="eastAsia" w:ascii="宋体" w:hAnsi="宋体" w:eastAsia="宋体"/>
        </w:rPr>
        <w:t>（需要载体）——</w:t>
      </w:r>
      <w:r>
        <w:rPr>
          <w:rFonts w:ascii="宋体" w:hAnsi="宋体" w:eastAsia="宋体"/>
        </w:rPr>
        <w:t>指水溶性小分子物质在载体蛋白介导下顺浓度梯度进行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跨膜转运</w:t>
      </w:r>
      <w:r>
        <w:rPr>
          <w:rFonts w:hint="eastAsia" w:ascii="宋体" w:hAnsi="宋体" w:eastAsia="宋体"/>
        </w:rPr>
        <w:t>。</w:t>
      </w:r>
    </w:p>
    <w:p>
      <w:pPr>
        <w:pStyle w:val="4"/>
        <w:ind w:left="42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【Eg：葡萄糖/氨基酸/核酸进入普通细胞/红细胞/脑细胞】</w:t>
      </w:r>
    </w:p>
    <w:p>
      <w:pPr>
        <w:ind w:firstLine="480"/>
        <w:rPr>
          <w:rFonts w:ascii="宋体" w:hAnsi="宋体" w:eastAsia="宋体" w:cs="微软雅黑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  <w:b/>
          <w:bCs/>
        </w:rPr>
        <w:t>主动转运</w:t>
      </w:r>
      <w:r>
        <w:rPr>
          <w:rFonts w:ascii="宋体" w:hAnsi="宋体" w:eastAsia="宋体" w:cs="Courier New"/>
        </w:rPr>
        <w:t>——</w:t>
      </w:r>
      <w:r>
        <w:rPr>
          <w:rFonts w:hint="eastAsia" w:ascii="宋体" w:hAnsi="宋体" w:eastAsia="宋体" w:cs="微软雅黑"/>
        </w:rPr>
        <w:t>耗能，需要载体，逆浓度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 w:cs="微软雅黑"/>
          <w:b/>
          <w:bCs/>
        </w:rPr>
        <w:t>原发性主动转运</w:t>
      </w:r>
      <w:r>
        <w:rPr>
          <w:rFonts w:ascii="宋体" w:hAnsi="宋体" w:eastAsia="宋体" w:cs="Courier New"/>
        </w:rPr>
        <w:t>——</w:t>
      </w:r>
      <w:r>
        <w:rPr>
          <w:rFonts w:ascii="宋体" w:hAnsi="宋体" w:eastAsia="宋体" w:cs="微软雅黑"/>
        </w:rPr>
        <w:t>细胞直接利用代谢产生的能量将物质逆浓度梯度和(或)电位梯度转运的</w:t>
      </w:r>
      <w:r>
        <w:rPr>
          <w:rFonts w:hint="eastAsia" w:ascii="宋体" w:hAnsi="宋体" w:eastAsia="宋体" w:cs="微软雅黑"/>
        </w:rPr>
        <w:t>过程。介导这一过程的</w:t>
      </w:r>
      <w:r>
        <w:rPr>
          <w:rFonts w:ascii="宋体" w:hAnsi="宋体" w:eastAsia="宋体" w:cs="微软雅黑"/>
        </w:rPr>
        <w:t>膜蛋白或载体被称为离子泵</w:t>
      </w:r>
      <w:r>
        <w:rPr>
          <w:rFonts w:hint="eastAsia" w:ascii="宋体" w:hAnsi="宋体" w:eastAsia="宋体" w:cs="微软雅黑"/>
        </w:rPr>
        <w:t>。</w:t>
      </w:r>
    </w:p>
    <w:p>
      <w:pPr>
        <w:pStyle w:val="4"/>
        <w:ind w:left="420" w:firstLine="0" w:firstLineChars="0"/>
        <w:rPr>
          <w:rFonts w:ascii="宋体" w:hAnsi="宋体" w:eastAsia="宋体"/>
        </w:rPr>
      </w:pPr>
      <w:r>
        <w:rPr>
          <w:rFonts w:ascii="宋体" w:hAnsi="宋体" w:eastAsia="宋体" w:cs="微软雅黑"/>
        </w:rPr>
        <w:t>E</w:t>
      </w:r>
      <w:r>
        <w:rPr>
          <w:rFonts w:hint="eastAsia" w:ascii="宋体" w:hAnsi="宋体" w:eastAsia="宋体" w:cs="微软雅黑"/>
        </w:rPr>
        <w:t>g：</w:t>
      </w:r>
    </w:p>
    <w:tbl>
      <w:tblPr>
        <w:tblStyle w:val="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c>
          <w:tcPr>
            <w:tcW w:w="1129" w:type="dxa"/>
          </w:tcPr>
          <w:p>
            <w:pPr>
              <w:ind w:firstLine="482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b/>
                <w:bCs/>
              </w:rPr>
              <w:t>钠钾泵</w:t>
            </w:r>
            <w:r>
              <w:rPr>
                <w:rFonts w:hint="eastAsia" w:ascii="宋体" w:hAnsi="宋体" w:eastAsia="宋体"/>
              </w:rPr>
              <w:t>（哺乳动物中最普遍离子泵）</w:t>
            </w:r>
          </w:p>
        </w:tc>
        <w:tc>
          <w:tcPr>
            <w:tcW w:w="7167" w:type="dxa"/>
          </w:tcPr>
          <w:p>
            <w:pPr>
              <w:ind w:firstLine="48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①维持细胞膜两侧钠钾浓度差</w:t>
            </w:r>
          </w:p>
          <w:p>
            <w:pPr>
              <w:ind w:firstLine="48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②胞内高钾为胞质提供代谢环境</w:t>
            </w:r>
          </w:p>
          <w:p>
            <w:pPr>
              <w:ind w:firstLine="48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③维持胞内渗透压和细胞容积，防止水肿</w:t>
            </w:r>
          </w:p>
          <w:p>
            <w:pPr>
              <w:ind w:firstLine="48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④形成的钠钾跨膜梯度是电活动的基础</w:t>
            </w:r>
          </w:p>
          <w:p>
            <w:pPr>
              <w:ind w:firstLine="48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⑤钠泵使膜内负值增大</w:t>
            </w:r>
          </w:p>
          <w:p>
            <w:pPr>
              <w:ind w:firstLine="48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⑥建立钠跨膜梯度为继发性主动转运提供势能储备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ind w:firstLine="482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钙泵</w:t>
            </w:r>
          </w:p>
        </w:tc>
        <w:tc>
          <w:tcPr>
            <w:tcW w:w="7167" w:type="dxa"/>
          </w:tcPr>
          <w:p>
            <w:pPr>
              <w:ind w:firstLine="48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①Ca与钙调蛋白（CaM）结合引发钙泵活动</w:t>
            </w:r>
          </w:p>
          <w:p>
            <w:pPr>
              <w:ind w:firstLine="48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②心肌/骨骼肌的肌浆网（Ca储存仓库）舒张时由钙泵回收Ca离子——主动耗能</w:t>
            </w:r>
          </w:p>
        </w:tc>
      </w:tr>
    </w:tbl>
    <w:p>
      <w:pPr>
        <w:pStyle w:val="4"/>
        <w:numPr>
          <w:ilvl w:val="0"/>
          <w:numId w:val="3"/>
        </w:numPr>
        <w:ind w:firstLineChars="0"/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  <w:b/>
          <w:bCs/>
        </w:rPr>
        <w:t>继发性主动转运</w:t>
      </w:r>
      <w:r>
        <w:rPr>
          <w:rFonts w:ascii="宋体" w:hAnsi="宋体" w:eastAsia="宋体" w:cs="Courier New"/>
        </w:rPr>
        <w:t>——</w:t>
      </w:r>
      <w:r>
        <w:rPr>
          <w:rFonts w:ascii="宋体" w:hAnsi="宋体" w:eastAsia="宋体" w:cs="微软雅黑"/>
        </w:rPr>
        <w:t>某些物质的主动转运不直接来自ATP的分解，而是利用原发性主动转运机</w:t>
      </w:r>
      <w:r>
        <w:rPr>
          <w:rFonts w:hint="eastAsia" w:ascii="宋体" w:hAnsi="宋体" w:eastAsia="宋体" w:cs="微软雅黑"/>
        </w:rPr>
        <w:t>制建立起的</w:t>
      </w:r>
      <w:r>
        <w:rPr>
          <w:rFonts w:ascii="宋体" w:hAnsi="宋体" w:eastAsia="宋体" w:cs="微软雅黑"/>
        </w:rPr>
        <w:t>Na或H的浓度梯度，在Na或H离子顺浓度梯度扩散的同时使其他物质逆浓度梯度和(或）电位梯度跨膜转运,这种间接利用ATP能量的主动转运过程称为继发性主动转运</w:t>
      </w:r>
    </w:p>
    <w:p>
      <w:pPr>
        <w:ind w:firstLine="480"/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分为：</w:t>
      </w:r>
      <w:r>
        <w:rPr>
          <w:rFonts w:ascii="宋体" w:hAnsi="宋体" w:eastAsia="宋体" w:cs="Cambria Math"/>
        </w:rPr>
        <w:t>①</w:t>
      </w:r>
      <w:r>
        <w:rPr>
          <w:rFonts w:hint="eastAsia" w:ascii="宋体" w:hAnsi="宋体" w:eastAsia="宋体" w:cs="微软雅黑"/>
        </w:rPr>
        <w:t>同向转运</w:t>
      </w:r>
      <w:r>
        <w:rPr>
          <w:rFonts w:ascii="宋体" w:hAnsi="宋体" w:eastAsia="宋体" w:cs="Courier New"/>
        </w:rPr>
        <w:t>——</w:t>
      </w:r>
      <w:r>
        <w:rPr>
          <w:rFonts w:hint="eastAsia" w:ascii="宋体" w:hAnsi="宋体" w:eastAsia="宋体" w:cs="微软雅黑"/>
        </w:rPr>
        <w:t>绝大多数是</w:t>
      </w:r>
      <w:r>
        <w:rPr>
          <w:rFonts w:hint="eastAsia" w:ascii="宋体" w:hAnsi="宋体" w:eastAsia="宋体"/>
        </w:rPr>
        <w:t>Na+</w:t>
      </w:r>
      <w:r>
        <w:rPr>
          <w:rFonts w:hint="eastAsia" w:ascii="宋体" w:hAnsi="宋体" w:eastAsia="宋体" w:cs="微软雅黑"/>
        </w:rPr>
        <w:t>偶联；</w:t>
      </w:r>
      <w:r>
        <w:rPr>
          <w:rFonts w:hint="eastAsia" w:ascii="宋体" w:hAnsi="宋体" w:eastAsia="宋体"/>
        </w:rPr>
        <w:t>Eg</w:t>
      </w:r>
      <w:r>
        <w:rPr>
          <w:rFonts w:hint="eastAsia" w:ascii="宋体" w:hAnsi="宋体" w:eastAsia="宋体" w:cs="微软雅黑"/>
        </w:rPr>
        <w:t>：钠</w:t>
      </w:r>
      <w:r>
        <w:rPr>
          <w:rFonts w:hint="eastAsia" w:ascii="宋体" w:hAnsi="宋体" w:eastAsia="宋体"/>
        </w:rPr>
        <w:t>-</w:t>
      </w:r>
      <w:r>
        <w:rPr>
          <w:rFonts w:hint="eastAsia" w:ascii="宋体" w:hAnsi="宋体" w:eastAsia="宋体" w:cs="微软雅黑"/>
        </w:rPr>
        <w:t>葡萄糖</w:t>
      </w:r>
      <w:r>
        <w:rPr>
          <w:rFonts w:hint="eastAsia" w:ascii="宋体" w:hAnsi="宋体" w:eastAsia="宋体"/>
        </w:rPr>
        <w:t>/</w:t>
      </w:r>
      <w:r>
        <w:rPr>
          <w:rFonts w:hint="eastAsia" w:ascii="宋体" w:hAnsi="宋体" w:eastAsia="宋体" w:cs="微软雅黑"/>
        </w:rPr>
        <w:t>氨基酸转运体</w:t>
      </w:r>
    </w:p>
    <w:p>
      <w:pPr>
        <w:ind w:firstLine="720" w:firstLineChars="300"/>
        <w:rPr>
          <w:rFonts w:ascii="宋体" w:hAnsi="宋体" w:eastAsia="宋体" w:cs="微软雅黑"/>
        </w:rPr>
      </w:pPr>
      <w:r>
        <w:rPr>
          <w:rFonts w:ascii="宋体" w:hAnsi="宋体" w:eastAsia="宋体" w:cs="Cambria Math"/>
        </w:rPr>
        <w:t>②</w:t>
      </w:r>
      <w:r>
        <w:rPr>
          <w:rFonts w:hint="eastAsia" w:ascii="宋体" w:hAnsi="宋体" w:eastAsia="宋体" w:cs="微软雅黑"/>
        </w:rPr>
        <w:t>反向转运</w:t>
      </w:r>
    </w:p>
    <w:p>
      <w:pPr>
        <w:ind w:firstLine="480"/>
        <w:rPr>
          <w:rFonts w:ascii="宋体" w:hAnsi="宋体" w:eastAsia="宋体"/>
        </w:rPr>
      </w:pPr>
    </w:p>
    <w:p>
      <w:pPr>
        <w:ind w:firstLine="482"/>
        <w:rPr>
          <w:rFonts w:ascii="宋体" w:hAnsi="宋体" w:eastAsia="宋体"/>
        </w:rPr>
      </w:pPr>
      <w:r>
        <w:rPr>
          <w:rFonts w:hint="eastAsia" w:ascii="宋体" w:hAnsi="宋体" w:eastAsia="宋体" w:cs="微软雅黑"/>
          <w:b/>
          <w:bCs/>
        </w:rPr>
        <w:t>⒊</w:t>
      </w:r>
      <w:r>
        <w:rPr>
          <w:rFonts w:ascii="宋体" w:hAnsi="宋体" w:eastAsia="宋体" w:cs="微软雅黑"/>
          <w:b/>
          <w:bCs/>
        </w:rPr>
        <w:t xml:space="preserve"> </w:t>
      </w:r>
      <w:r>
        <w:rPr>
          <w:rFonts w:hint="eastAsia" w:ascii="宋体" w:hAnsi="宋体" w:eastAsia="宋体" w:cs="微软雅黑"/>
          <w:b/>
          <w:bCs/>
        </w:rPr>
        <w:t>膜泡运输</w:t>
      </w:r>
      <w:r>
        <w:rPr>
          <w:rFonts w:ascii="宋体" w:hAnsi="宋体" w:eastAsia="宋体" w:cs="Courier New"/>
        </w:rPr>
        <w:t>——</w:t>
      </w:r>
      <w:r>
        <w:rPr>
          <w:rFonts w:hint="eastAsia" w:ascii="宋体" w:hAnsi="宋体" w:eastAsia="宋体" w:cs="微软雅黑"/>
        </w:rPr>
        <w:t>大分子（蛋白质）</w:t>
      </w:r>
      <w:r>
        <w:rPr>
          <w:rFonts w:hint="eastAsia" w:ascii="宋体" w:hAnsi="宋体" w:eastAsia="宋体"/>
        </w:rPr>
        <w:t>/</w:t>
      </w:r>
      <w:r>
        <w:rPr>
          <w:rFonts w:hint="eastAsia" w:ascii="宋体" w:hAnsi="宋体" w:eastAsia="宋体" w:cs="微软雅黑"/>
        </w:rPr>
        <w:t>颗粒物质进出细胞并不是直接穿过细胞膜而是由膜包裹、膜融合、膜离断等一系列过程完成转运，是主动过程，耗能，伴细胞膜面积改变。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5C165E"/>
    <w:multiLevelType w:val="multilevel"/>
    <w:tmpl w:val="205C165E"/>
    <w:lvl w:ilvl="0" w:tentative="0">
      <w:start w:val="1"/>
      <w:numFmt w:val="decimalEnclosedFullstop"/>
      <w:lvlText w:val="%1"/>
      <w:lvlJc w:val="left"/>
      <w:pPr>
        <w:ind w:left="360" w:hanging="360"/>
      </w:pPr>
      <w:rPr>
        <w:rFonts w:hint="default" w:cs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E952EA"/>
    <w:multiLevelType w:val="multilevel"/>
    <w:tmpl w:val="50E952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390765"/>
    <w:multiLevelType w:val="multilevel"/>
    <w:tmpl w:val="693907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32E44B82"/>
    <w:rsid w:val="32E4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  <w:ind w:firstLine="0" w:firstLineChars="0"/>
      <w:jc w:val="both"/>
    </w:pPr>
    <w:rPr>
      <w:rFonts w:eastAsia="SimSun-ExtB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2023-03-01T03:06:00Z</dcterms:created>
  <dc:creator>查令十字街84号</dc:creator>
  <cp:lastModifiedBy>查令十字街84号</cp:lastModifiedBy>
  <dcterms:modified xsi:type="dcterms:W3CDTF">2023-03-01T03:07:44Z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9CF9983531034A71ADBABDEACF9C3555</vt:lpwstr>
  </property>
</Properties>
</file>