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337D" w14:textId="1D8F85D0" w:rsidR="005D34A3" w:rsidRPr="005D34A3" w:rsidRDefault="005D34A3" w:rsidP="0090793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34A3">
        <w:rPr>
          <w:rFonts w:ascii="Times New Roman" w:hAnsi="Times New Roman" w:cs="Times New Roman"/>
          <w:i/>
          <w:i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                                             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>Joel Soji</w:t>
      </w:r>
    </w:p>
    <w:p w14:paraId="2D34459C" w14:textId="1CF8C4BE" w:rsidR="005D34A3" w:rsidRPr="005D34A3" w:rsidRDefault="005D34A3" w:rsidP="00907933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  2241135</w:t>
      </w:r>
    </w:p>
    <w:p w14:paraId="45CE446F" w14:textId="65268E1E" w:rsidR="005D34A3" w:rsidRPr="005D34A3" w:rsidRDefault="005D34A3" w:rsidP="0090793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5D34A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Machine Learning</w:t>
      </w:r>
    </w:p>
    <w:p w14:paraId="3CC9DB18" w14:textId="0817F91D" w:rsidR="00907933" w:rsidRPr="00907933" w:rsidRDefault="00907933" w:rsidP="00907933">
      <w:pPr>
        <w:jc w:val="center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907933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Program </w:t>
      </w:r>
      <w:r w:rsidR="000F2C62">
        <w:rPr>
          <w:rFonts w:ascii="Times New Roman" w:hAnsi="Times New Roman" w:cs="Times New Roman"/>
          <w:i/>
          <w:iCs/>
          <w:sz w:val="40"/>
          <w:szCs w:val="40"/>
          <w:u w:val="single"/>
        </w:rPr>
        <w:t>2</w:t>
      </w:r>
    </w:p>
    <w:p w14:paraId="72DE39EA" w14:textId="580E6F1F" w:rsidR="00907933" w:rsidRPr="00907933" w:rsidRDefault="00907933" w:rsidP="00907933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907933">
        <w:rPr>
          <w:rFonts w:ascii="Times New Roman" w:hAnsi="Times New Roman" w:cs="Times New Roman"/>
          <w:i/>
          <w:iCs/>
          <w:sz w:val="40"/>
          <w:szCs w:val="40"/>
        </w:rPr>
        <w:t>Demonstrate data Exploration (Numeric Data)</w:t>
      </w:r>
    </w:p>
    <w:p w14:paraId="53DC34B0" w14:textId="77777777" w:rsidR="00907933" w:rsidRDefault="00907933">
      <w:pPr>
        <w:rPr>
          <w:rFonts w:ascii="Times New Roman" w:hAnsi="Times New Roman" w:cs="Times New Roman"/>
          <w:sz w:val="28"/>
          <w:szCs w:val="28"/>
        </w:rPr>
      </w:pPr>
    </w:p>
    <w:p w14:paraId="3C33A4CB" w14:textId="5F1215D3" w:rsidR="00B1736E" w:rsidRDefault="009079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Perform detailed EDA with supporting charts.</w:t>
      </w:r>
      <w:r w:rsidRPr="00907933">
        <w:rPr>
          <w:rFonts w:ascii="Times New Roman" w:hAnsi="Times New Roman" w:cs="Times New Roman"/>
          <w:i/>
          <w:iCs/>
          <w:sz w:val="28"/>
          <w:szCs w:val="28"/>
        </w:rPr>
        <w:br/>
        <w:t>Write your interpretations and dataset description</w:t>
      </w:r>
    </w:p>
    <w:p w14:paraId="1D7CF5B2" w14:textId="77777777" w:rsidR="00907933" w:rsidRDefault="0090793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1C0175" w14:textId="77777777" w:rsidR="00907933" w:rsidRPr="00907933" w:rsidRDefault="00907933" w:rsidP="009079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 Description: EV Charging Patterns</w:t>
      </w:r>
    </w:p>
    <w:p w14:paraId="4370E93A" w14:textId="77777777" w:rsidR="00907933" w:rsidRPr="00907933" w:rsidRDefault="00907933" w:rsidP="009079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Overview</w:t>
      </w:r>
    </w:p>
    <w:p w14:paraId="5DB03C7F" w14:textId="0C139EF3" w:rsidR="00907933" w:rsidRDefault="00907933" w:rsidP="009079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iCs/>
          <w:sz w:val="28"/>
          <w:szCs w:val="28"/>
        </w:rPr>
        <w:t>EV Charging Patterns dataset</w:t>
      </w:r>
      <w:r w:rsidRPr="00907933">
        <w:rPr>
          <w:rFonts w:ascii="Times New Roman" w:hAnsi="Times New Roman" w:cs="Times New Roman"/>
          <w:i/>
          <w:iCs/>
          <w:sz w:val="28"/>
          <w:szCs w:val="28"/>
        </w:rPr>
        <w:t xml:space="preserve"> captures various aspects of electric vehicle (EV) usage and charging </w:t>
      </w:r>
      <w:r>
        <w:rPr>
          <w:rFonts w:ascii="Times New Roman" w:hAnsi="Times New Roman" w:cs="Times New Roman"/>
          <w:i/>
          <w:iCs/>
          <w:sz w:val="28"/>
          <w:szCs w:val="28"/>
        </w:rPr>
        <w:t>behavior</w:t>
      </w:r>
      <w:r w:rsidRPr="00907933">
        <w:rPr>
          <w:rFonts w:ascii="Times New Roman" w:hAnsi="Times New Roman" w:cs="Times New Roman"/>
          <w:i/>
          <w:iCs/>
          <w:sz w:val="28"/>
          <w:szCs w:val="28"/>
        </w:rPr>
        <w:t>. It is designed to provide insights into energy consumption, charging efficiency, and user behavior across different types of EVs and usage scenarios.</w:t>
      </w:r>
    </w:p>
    <w:p w14:paraId="05669F4B" w14:textId="77777777" w:rsidR="00907933" w:rsidRDefault="00907933" w:rsidP="0090793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4731C0" w14:textId="77777777" w:rsidR="00907933" w:rsidRPr="00907933" w:rsidRDefault="00907933" w:rsidP="009079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 Features</w:t>
      </w:r>
    </w:p>
    <w:p w14:paraId="0E4C864B" w14:textId="77777777" w:rsidR="00907933" w:rsidRPr="00907933" w:rsidRDefault="00907933" w:rsidP="009079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Below is a summary of key features in the dataset:</w:t>
      </w:r>
    </w:p>
    <w:p w14:paraId="28C8A22C" w14:textId="77777777" w:rsidR="00907933" w:rsidRPr="00907933" w:rsidRDefault="00907933" w:rsidP="0090793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Battery Capacity (kWh):</w:t>
      </w:r>
    </w:p>
    <w:p w14:paraId="34022AEE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Represents the total storage capacity of the EV batteries in kilowatt-hours (kWh).</w:t>
      </w:r>
    </w:p>
    <w:p w14:paraId="5235C819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Observations from the histogram suggest most vehicles have a capacity between 50 and 100 kWh, with a few outliers having higher capacities.</w:t>
      </w:r>
    </w:p>
    <w:p w14:paraId="744A468A" w14:textId="77777777" w:rsidR="00907933" w:rsidRPr="00907933" w:rsidRDefault="00907933" w:rsidP="0090793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Energy Consumed (kWh):</w:t>
      </w:r>
    </w:p>
    <w:p w14:paraId="608105B5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Indicates the energy drawn during a charging session.</w:t>
      </w:r>
    </w:p>
    <w:p w14:paraId="50C4C80B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Distribution shows a clustering between 20 and 80 kWh, with some sessions drawing significantly lower or higher energy, possibly due to varying battery states of charge or charging durations.</w:t>
      </w:r>
    </w:p>
    <w:p w14:paraId="283B3F4A" w14:textId="77777777" w:rsidR="00907933" w:rsidRPr="00907933" w:rsidRDefault="00907933" w:rsidP="0090793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Charging Duration (Hours):</w:t>
      </w:r>
    </w:p>
    <w:p w14:paraId="03F7C5F0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The time taken for the charging session, measured in hours.</w:t>
      </w:r>
    </w:p>
    <w:p w14:paraId="537149AD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The data is approximately uniform between 1 and 5 hours, with outliers for extended charging sessions.</w:t>
      </w:r>
    </w:p>
    <w:p w14:paraId="3C24423F" w14:textId="77777777" w:rsidR="00907933" w:rsidRPr="00907933" w:rsidRDefault="00907933" w:rsidP="0090793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Charging Rate (kW):</w:t>
      </w:r>
    </w:p>
    <w:p w14:paraId="560E40E7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Measures the power delivered to the vehicle during charging in kilowatts.</w:t>
      </w:r>
    </w:p>
    <w:p w14:paraId="7BDCCBD6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The histogram suggests most sessions had rates between 20 and 80 kW, likely corresponding to Level 2 and DC fast chargers.</w:t>
      </w:r>
    </w:p>
    <w:p w14:paraId="6084BC7D" w14:textId="77777777" w:rsidR="00907933" w:rsidRPr="00907933" w:rsidRDefault="00907933" w:rsidP="0090793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State of Charge (Start %) and (End %):</w:t>
      </w:r>
    </w:p>
    <w:p w14:paraId="5F3FE90A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 %:</w:t>
      </w:r>
      <w:r w:rsidRPr="00907933">
        <w:rPr>
          <w:rFonts w:ascii="Times New Roman" w:hAnsi="Times New Roman" w:cs="Times New Roman"/>
          <w:i/>
          <w:iCs/>
          <w:sz w:val="28"/>
          <w:szCs w:val="28"/>
        </w:rPr>
        <w:t xml:space="preserve"> The battery's charge level before charging starts.</w:t>
      </w:r>
    </w:p>
    <w:p w14:paraId="31DC1879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Indicates a wide spread between 20% and 80%, showing variability in how depleted the batteries are before charging.</w:t>
      </w:r>
    </w:p>
    <w:p w14:paraId="63A3ACC0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 %:</w:t>
      </w:r>
      <w:r w:rsidRPr="00907933">
        <w:rPr>
          <w:rFonts w:ascii="Times New Roman" w:hAnsi="Times New Roman" w:cs="Times New Roman"/>
          <w:i/>
          <w:iCs/>
          <w:sz w:val="28"/>
          <w:szCs w:val="28"/>
        </w:rPr>
        <w:t xml:space="preserve"> Not explicitly visualized here but typically would range closer to full charge (90%-100%).</w:t>
      </w:r>
    </w:p>
    <w:p w14:paraId="192736F1" w14:textId="77777777" w:rsidR="00907933" w:rsidRPr="00907933" w:rsidRDefault="00907933" w:rsidP="0090793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Distance Driven (since last charge) (km):</w:t>
      </w:r>
    </w:p>
    <w:p w14:paraId="10737254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Reflects the distance driven between two consecutive charging sessions.</w:t>
      </w:r>
    </w:p>
    <w:p w14:paraId="37F5AB86" w14:textId="77777777" w:rsidR="00907933" w:rsidRPr="00907933" w:rsidRDefault="00907933" w:rsidP="00907933">
      <w:pPr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07933">
        <w:rPr>
          <w:rFonts w:ascii="Times New Roman" w:hAnsi="Times New Roman" w:cs="Times New Roman"/>
          <w:i/>
          <w:iCs/>
          <w:sz w:val="28"/>
          <w:szCs w:val="28"/>
        </w:rPr>
        <w:t>Most vehicles traveled between 100 and 300 km, which aligns with the range of EVs per full charge.</w:t>
      </w:r>
    </w:p>
    <w:p w14:paraId="20AA6651" w14:textId="54AC210E" w:rsidR="00907933" w:rsidRPr="00907933" w:rsidRDefault="00907933" w:rsidP="0090793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6C4A312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75E942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A1BDC9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B89FBE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A6DFA6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AD03EE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4D1466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AD4EFC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2CF3B33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21DDC7F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E85A0C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427CB7B" w14:textId="77777777" w:rsidR="0011487E" w:rsidRDefault="0011487E" w:rsidP="004B17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682EB2" w14:textId="41D359C6" w:rsidR="004B17BB" w:rsidRPr="004B17BB" w:rsidRDefault="004B17BB" w:rsidP="004B17B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17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Numeric Variable Distribution</w:t>
      </w:r>
      <w:r w:rsidRPr="004B17B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FD42919" w14:textId="77777777" w:rsidR="004B17BB" w:rsidRPr="004B17BB" w:rsidRDefault="004B17BB" w:rsidP="004B17BB">
      <w:pPr>
        <w:numPr>
          <w:ilvl w:val="0"/>
          <w:numId w:val="1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B17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Histogram</w:t>
      </w:r>
      <w:r w:rsidRPr="004B17BB">
        <w:rPr>
          <w:rFonts w:ascii="Times New Roman" w:hAnsi="Times New Roman" w:cs="Times New Roman"/>
          <w:i/>
          <w:iCs/>
          <w:sz w:val="28"/>
          <w:szCs w:val="28"/>
        </w:rPr>
        <w:t xml:space="preserve"> shows the frequency distribution of numeric columns</w:t>
      </w:r>
    </w:p>
    <w:p w14:paraId="1F8EDDE1" w14:textId="579D61B9" w:rsidR="000342C6" w:rsidRDefault="005D34A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1487E">
        <w:rPr>
          <w:rFonts w:ascii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764B5B" wp14:editId="5E28F746">
            <wp:simplePos x="0" y="0"/>
            <wp:positionH relativeFrom="margin">
              <wp:posOffset>-298334</wp:posOffset>
            </wp:positionH>
            <wp:positionV relativeFrom="paragraph">
              <wp:posOffset>518795</wp:posOffset>
            </wp:positionV>
            <wp:extent cx="6418580" cy="3234690"/>
            <wp:effectExtent l="0" t="0" r="1270" b="3810"/>
            <wp:wrapSquare wrapText="bothSides"/>
            <wp:docPr id="1188510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522B" w14:textId="34984FB1" w:rsidR="005D34A3" w:rsidRDefault="005D34A3" w:rsidP="005D34A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DB0E0F" w14:textId="176B4C23" w:rsidR="005D34A3" w:rsidRDefault="005D34A3" w:rsidP="005D34A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95ED27" w14:textId="5F584008" w:rsidR="005D34A3" w:rsidRDefault="005D34A3" w:rsidP="005D34A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723C93B6" w14:textId="77777777" w:rsidR="005D34A3" w:rsidRDefault="005D34A3" w:rsidP="005D34A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0AD02D8E" w14:textId="77777777" w:rsidR="005D34A3" w:rsidRDefault="005D34A3" w:rsidP="005D34A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75030B" w14:textId="77777777" w:rsidR="005D34A3" w:rsidRPr="005D34A3" w:rsidRDefault="005D34A3" w:rsidP="005D34A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71E0CAD9" w14:textId="1F5206C9" w:rsidR="00413E4F" w:rsidRPr="00413E4F" w:rsidRDefault="00413E4F" w:rsidP="00413E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13E4F">
        <w:rPr>
          <w:rFonts w:ascii="Times New Roman" w:hAnsi="Times New Roman" w:cs="Times New Roman"/>
          <w:i/>
          <w:iCs/>
          <w:sz w:val="28"/>
          <w:szCs w:val="28"/>
        </w:rPr>
        <w:t xml:space="preserve">histogram shows that </w:t>
      </w:r>
      <w:r w:rsidRPr="00413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"Energy Consumed (kWh)"</w:t>
      </w:r>
      <w:r w:rsidRPr="00413E4F">
        <w:rPr>
          <w:rFonts w:ascii="Times New Roman" w:hAnsi="Times New Roman" w:cs="Times New Roman"/>
          <w:i/>
          <w:iCs/>
          <w:sz w:val="28"/>
          <w:szCs w:val="28"/>
        </w:rPr>
        <w:t xml:space="preserve"> is right-skewed, with most values concentrated in the lower range, indicating that the majority of sessions consume moderate energy.</w:t>
      </w:r>
    </w:p>
    <w:p w14:paraId="09BE227E" w14:textId="623A82C0" w:rsidR="0011487E" w:rsidRPr="00413E4F" w:rsidRDefault="00413E4F" w:rsidP="0011487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13E4F">
        <w:rPr>
          <w:rFonts w:ascii="Times New Roman" w:hAnsi="Times New Roman" w:cs="Times New Roman"/>
          <w:i/>
          <w:iCs/>
          <w:sz w:val="28"/>
          <w:szCs w:val="28"/>
        </w:rPr>
        <w:t>A small number of outliers suggest higher consumption during specific charging sessions, likely due to longer durations or larger battery capacities.</w:t>
      </w:r>
    </w:p>
    <w:p w14:paraId="3C773F95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3521133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A5D27EE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E539045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42F5B62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B1D79E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9D0B1B6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012CED" w14:textId="77777777" w:rsidR="005D34A3" w:rsidRDefault="005D34A3" w:rsidP="005D34A3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3DE67B" w14:textId="3FF617F0" w:rsidR="0011487E" w:rsidRPr="0011487E" w:rsidRDefault="0011487E" w:rsidP="005D34A3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114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 Plot</w:t>
      </w:r>
      <w:r w:rsidRPr="0011487E">
        <w:rPr>
          <w:rFonts w:ascii="Times New Roman" w:hAnsi="Times New Roman" w:cs="Times New Roman"/>
          <w:i/>
          <w:iCs/>
          <w:sz w:val="28"/>
          <w:szCs w:val="28"/>
        </w:rPr>
        <w:t xml:space="preserve"> visualizes the frequency of categories in nominal variables</w:t>
      </w:r>
    </w:p>
    <w:p w14:paraId="0AE4B911" w14:textId="4548916A" w:rsidR="0011487E" w:rsidRDefault="00413E4F" w:rsidP="001148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2E02995" wp14:editId="23ADEA96">
            <wp:simplePos x="0" y="0"/>
            <wp:positionH relativeFrom="column">
              <wp:posOffset>138545</wp:posOffset>
            </wp:positionH>
            <wp:positionV relativeFrom="paragraph">
              <wp:posOffset>238702</wp:posOffset>
            </wp:positionV>
            <wp:extent cx="5731510" cy="2813685"/>
            <wp:effectExtent l="0" t="0" r="2540" b="5715"/>
            <wp:wrapSquare wrapText="bothSides"/>
            <wp:docPr id="709908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8412" name="Picture 7099084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5C259" w14:textId="77777777" w:rsidR="0011487E" w:rsidRDefault="0011487E" w:rsidP="001148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7AE13F" w14:textId="52128E7B" w:rsidR="00413E4F" w:rsidRPr="00413E4F" w:rsidRDefault="00413E4F" w:rsidP="00413E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13E4F">
        <w:rPr>
          <w:rFonts w:ascii="Times New Roman" w:hAnsi="Times New Roman" w:cs="Times New Roman"/>
          <w:i/>
          <w:iCs/>
          <w:sz w:val="28"/>
          <w:szCs w:val="28"/>
        </w:rPr>
        <w:t>The count plot reveals that residential users dominate the dataset, indicating a higher prevalence of personal EV usage compared to commercial users.</w:t>
      </w:r>
    </w:p>
    <w:p w14:paraId="68E06D08" w14:textId="4C6D1ED4" w:rsidR="0011487E" w:rsidRPr="00413E4F" w:rsidRDefault="00413E4F" w:rsidP="0011487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13E4F">
        <w:rPr>
          <w:rFonts w:ascii="Times New Roman" w:hAnsi="Times New Roman" w:cs="Times New Roman"/>
          <w:i/>
          <w:iCs/>
          <w:sz w:val="28"/>
          <w:szCs w:val="28"/>
        </w:rPr>
        <w:t xml:space="preserve">This distribution suggests that the majority of charging activity occurs in residential settings, potentially highlighting the importance of home-based charging </w:t>
      </w:r>
      <w:r>
        <w:rPr>
          <w:rFonts w:ascii="Times New Roman" w:hAnsi="Times New Roman" w:cs="Times New Roman"/>
          <w:i/>
          <w:iCs/>
          <w:sz w:val="28"/>
          <w:szCs w:val="28"/>
        </w:rPr>
        <w:t>infrastructure</w:t>
      </w:r>
    </w:p>
    <w:p w14:paraId="1036DC4B" w14:textId="77777777" w:rsidR="00413E4F" w:rsidRDefault="00413E4F" w:rsidP="001148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C54AFFC" w14:textId="378F5183" w:rsidR="0011487E" w:rsidRPr="0011487E" w:rsidRDefault="0011487E" w:rsidP="0011487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14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Scatterplot</w:t>
      </w:r>
      <w:r w:rsidRPr="0011487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7F00CCC" w14:textId="671D3697" w:rsidR="0011487E" w:rsidRPr="0011487E" w:rsidRDefault="0011487E" w:rsidP="0011487E">
      <w:pPr>
        <w:numPr>
          <w:ilvl w:val="0"/>
          <w:numId w:val="13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CAB88C" wp14:editId="24DB2A7E">
            <wp:simplePos x="0" y="0"/>
            <wp:positionH relativeFrom="column">
              <wp:posOffset>-69273</wp:posOffset>
            </wp:positionH>
            <wp:positionV relativeFrom="paragraph">
              <wp:posOffset>529301</wp:posOffset>
            </wp:positionV>
            <wp:extent cx="5731510" cy="3439160"/>
            <wp:effectExtent l="0" t="0" r="2540" b="889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3474244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24402" name="Picture 1347424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87E">
        <w:rPr>
          <w:rFonts w:ascii="Times New Roman" w:hAnsi="Times New Roman" w:cs="Times New Roman"/>
          <w:i/>
          <w:iCs/>
          <w:sz w:val="28"/>
          <w:szCs w:val="28"/>
        </w:rPr>
        <w:t>Examines relationships between two numeric variables, adding categorical differentiation.</w:t>
      </w:r>
    </w:p>
    <w:p w14:paraId="602D7BB3" w14:textId="77777777" w:rsidR="0011487E" w:rsidRDefault="0011487E" w:rsidP="001148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552462" w14:textId="77777777" w:rsidR="005D34A3" w:rsidRPr="005D34A3" w:rsidRDefault="005D34A3" w:rsidP="005D34A3">
      <w:pPr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D34A3">
        <w:rPr>
          <w:rFonts w:ascii="Times New Roman" w:hAnsi="Times New Roman" w:cs="Times New Roman"/>
          <w:i/>
          <w:iCs/>
          <w:sz w:val="28"/>
          <w:szCs w:val="28"/>
        </w:rPr>
        <w:t>The scatterplot shows a positive correlation between charging duration and energy consumed, indicating that longer charging sessions typically result in higher energy usage.</w:t>
      </w:r>
    </w:p>
    <w:p w14:paraId="5B61926D" w14:textId="77777777" w:rsidR="005D34A3" w:rsidRPr="005D34A3" w:rsidRDefault="005D34A3" w:rsidP="005D34A3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4A3">
        <w:rPr>
          <w:rFonts w:ascii="Times New Roman" w:hAnsi="Times New Roman" w:cs="Times New Roman"/>
          <w:i/>
          <w:iCs/>
          <w:sz w:val="28"/>
          <w:szCs w:val="28"/>
        </w:rPr>
        <w:t>However, there is noticeable variability, suggesting that factors like charging rate and battery capacity also influence energy consumption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3355620" w14:textId="50EC6820" w:rsidR="00413E4F" w:rsidRDefault="00413E4F" w:rsidP="001148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D81DCB" w14:textId="77777777" w:rsidR="00413E4F" w:rsidRDefault="00413E4F" w:rsidP="001148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17F3132" w14:textId="77777777" w:rsidR="00413E4F" w:rsidRDefault="00413E4F" w:rsidP="001148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8B2F35" w14:textId="48FEC959" w:rsidR="0011487E" w:rsidRPr="0011487E" w:rsidRDefault="0011487E" w:rsidP="0011487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14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Heatmap</w:t>
      </w:r>
      <w:r w:rsidRPr="0011487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8C74B26" w14:textId="727DC2D5" w:rsidR="00655E06" w:rsidRDefault="00DD38B9" w:rsidP="0011487E">
      <w:pPr>
        <w:numPr>
          <w:ilvl w:val="0"/>
          <w:numId w:val="1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247ADB" wp14:editId="023DF5AC">
            <wp:simplePos x="0" y="0"/>
            <wp:positionH relativeFrom="column">
              <wp:posOffset>255501</wp:posOffset>
            </wp:positionH>
            <wp:positionV relativeFrom="paragraph">
              <wp:posOffset>624551</wp:posOffset>
            </wp:positionV>
            <wp:extent cx="4994275" cy="2687320"/>
            <wp:effectExtent l="0" t="0" r="0" b="0"/>
            <wp:wrapSquare wrapText="bothSides"/>
            <wp:docPr id="1779819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19386" name="Picture 177981938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3" r="12857" b="-1188"/>
                    <a:stretch/>
                  </pic:blipFill>
                  <pic:spPr bwMode="auto">
                    <a:xfrm>
                      <a:off x="0" y="0"/>
                      <a:ext cx="4994275" cy="26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87E" w:rsidRPr="0011487E">
        <w:rPr>
          <w:rFonts w:ascii="Times New Roman" w:hAnsi="Times New Roman" w:cs="Times New Roman"/>
          <w:i/>
          <w:iCs/>
          <w:sz w:val="28"/>
          <w:szCs w:val="28"/>
        </w:rPr>
        <w:t>Correlation matrix heatmap reveals inter-variable relationships</w:t>
      </w:r>
    </w:p>
    <w:p w14:paraId="4CF21677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1BF9A5E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6F916A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E4E659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3C6AAC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7761417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23047E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26F173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97B6AD4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FF433C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15B79E" w14:textId="1F78B81C" w:rsidR="00DD38B9" w:rsidRDefault="005D34A3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The heatmap reveals a 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strong positive correlation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 between 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energy consumed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charging duration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, while other variables like 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state of charge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 show weaker relationships with the rest.</w:t>
      </w:r>
    </w:p>
    <w:p w14:paraId="055181F2" w14:textId="77777777" w:rsidR="00DD38B9" w:rsidRP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D38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Boxplot</w:t>
      </w:r>
      <w:r w:rsidRPr="00DD38B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2F2E1F4" w14:textId="4F1B7BA0" w:rsidR="00DD38B9" w:rsidRPr="00DD38B9" w:rsidRDefault="00DD38B9" w:rsidP="00DD38B9">
      <w:pPr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D38B9">
        <w:rPr>
          <w:rFonts w:ascii="Times New Roman" w:hAnsi="Times New Roman" w:cs="Times New Roman"/>
          <w:i/>
          <w:iCs/>
          <w:sz w:val="28"/>
          <w:szCs w:val="28"/>
        </w:rPr>
        <w:t>Compares numeric data across categorical groups.</w:t>
      </w:r>
    </w:p>
    <w:p w14:paraId="42FB03D7" w14:textId="6C628A88" w:rsidR="005D34A3" w:rsidRPr="005D34A3" w:rsidRDefault="005D34A3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E1B2EF" wp14:editId="1A1A8F3D">
            <wp:simplePos x="0" y="0"/>
            <wp:positionH relativeFrom="column">
              <wp:posOffset>20320</wp:posOffset>
            </wp:positionH>
            <wp:positionV relativeFrom="paragraph">
              <wp:posOffset>79375</wp:posOffset>
            </wp:positionV>
            <wp:extent cx="5320030" cy="2660015"/>
            <wp:effectExtent l="0" t="0" r="0" b="6985"/>
            <wp:wrapSquare wrapText="bothSides"/>
            <wp:docPr id="479383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3818" name="Picture 4793838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The boxplot highlights significant 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variability in energy consumed across different times of day,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 with evening sessions showing higher median consumption and more outliers compared to other periods.</w:t>
      </w:r>
    </w:p>
    <w:p w14:paraId="4FBEC4F5" w14:textId="77777777" w:rsidR="005D34A3" w:rsidRDefault="005D34A3" w:rsidP="00DD38B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3E90C2" w14:textId="32CF24AD" w:rsidR="00DD38B9" w:rsidRP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D38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Violin Plot</w:t>
      </w:r>
      <w:r w:rsidRPr="00DD38B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B4438A5" w14:textId="7779863A" w:rsidR="00DD38B9" w:rsidRPr="00DD38B9" w:rsidRDefault="00DD38B9" w:rsidP="00DD38B9">
      <w:pPr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12BADEA" wp14:editId="0C1F43B4">
            <wp:simplePos x="0" y="0"/>
            <wp:positionH relativeFrom="margin">
              <wp:align>left</wp:align>
            </wp:positionH>
            <wp:positionV relativeFrom="paragraph">
              <wp:posOffset>663228</wp:posOffset>
            </wp:positionV>
            <wp:extent cx="5731510" cy="2865755"/>
            <wp:effectExtent l="0" t="0" r="2540" b="0"/>
            <wp:wrapSquare wrapText="bothSides"/>
            <wp:docPr id="10036700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0097" name="Picture 10036700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8B9">
        <w:rPr>
          <w:rFonts w:ascii="Times New Roman" w:hAnsi="Times New Roman" w:cs="Times New Roman"/>
          <w:i/>
          <w:iCs/>
          <w:sz w:val="28"/>
          <w:szCs w:val="28"/>
        </w:rPr>
        <w:t>Combines a boxplot with a kernel density estimate for numeric distribution across categories.</w:t>
      </w:r>
    </w:p>
    <w:p w14:paraId="79F993E5" w14:textId="75FC9F55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4EDB8B" w14:textId="36014CBE" w:rsidR="005D34A3" w:rsidRPr="005D34A3" w:rsidRDefault="005D34A3" w:rsidP="005D34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The violin plot illustrates that 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energy consumed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 xml:space="preserve"> is more evenly distributed across </w:t>
      </w:r>
      <w:r w:rsidRPr="005D34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 types</w:t>
      </w:r>
      <w:r w:rsidRPr="005D34A3">
        <w:rPr>
          <w:rFonts w:ascii="Times New Roman" w:hAnsi="Times New Roman" w:cs="Times New Roman"/>
          <w:i/>
          <w:iCs/>
          <w:sz w:val="28"/>
          <w:szCs w:val="28"/>
        </w:rPr>
        <w:t>, with residential users showing a wider range of consumption values.</w:t>
      </w:r>
    </w:p>
    <w:p w14:paraId="4AFC69C9" w14:textId="1D815429" w:rsidR="00DD38B9" w:rsidRPr="005D34A3" w:rsidRDefault="005D34A3" w:rsidP="005D34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D34A3">
        <w:rPr>
          <w:rFonts w:ascii="Times New Roman" w:hAnsi="Times New Roman" w:cs="Times New Roman"/>
          <w:i/>
          <w:iCs/>
          <w:sz w:val="28"/>
          <w:szCs w:val="28"/>
        </w:rPr>
        <w:t>Commercial users tend to have higher median energy consumption but with less variation, suggesting more consistent charging patterns.</w:t>
      </w:r>
    </w:p>
    <w:p w14:paraId="17F6B8D4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18E9C8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6E3C400" w14:textId="40BAE571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F98371" w14:textId="77777777" w:rsidR="00DD38B9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9A9328" w14:textId="5E1591DE" w:rsidR="00DD38B9" w:rsidRPr="0011487E" w:rsidRDefault="00DD38B9" w:rsidP="00DD38B9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DD38B9" w:rsidRPr="0011487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35965" w14:textId="77777777" w:rsidR="00736427" w:rsidRDefault="00736427" w:rsidP="000342C6">
      <w:pPr>
        <w:spacing w:after="0" w:line="240" w:lineRule="auto"/>
      </w:pPr>
      <w:r>
        <w:separator/>
      </w:r>
    </w:p>
  </w:endnote>
  <w:endnote w:type="continuationSeparator" w:id="0">
    <w:p w14:paraId="33FC7FF3" w14:textId="77777777" w:rsidR="00736427" w:rsidRDefault="00736427" w:rsidP="0003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2EC38" w14:textId="77777777" w:rsidR="00DD38B9" w:rsidRDefault="00DD38B9">
    <w:pPr>
      <w:pStyle w:val="Footer"/>
    </w:pPr>
  </w:p>
  <w:p w14:paraId="70478CE8" w14:textId="77777777" w:rsidR="00DD38B9" w:rsidRDefault="00DD3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3B0B2" w14:textId="77777777" w:rsidR="00736427" w:rsidRDefault="00736427" w:rsidP="000342C6">
      <w:pPr>
        <w:spacing w:after="0" w:line="240" w:lineRule="auto"/>
      </w:pPr>
      <w:r>
        <w:separator/>
      </w:r>
    </w:p>
  </w:footnote>
  <w:footnote w:type="continuationSeparator" w:id="0">
    <w:p w14:paraId="5CC57AE9" w14:textId="77777777" w:rsidR="00736427" w:rsidRDefault="00736427" w:rsidP="0003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185"/>
    <w:multiLevelType w:val="multilevel"/>
    <w:tmpl w:val="694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4CC3"/>
    <w:multiLevelType w:val="hybridMultilevel"/>
    <w:tmpl w:val="10866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2779"/>
    <w:multiLevelType w:val="multilevel"/>
    <w:tmpl w:val="0600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442DE"/>
    <w:multiLevelType w:val="multilevel"/>
    <w:tmpl w:val="F9F2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A3A34"/>
    <w:multiLevelType w:val="multilevel"/>
    <w:tmpl w:val="26B0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E13F0"/>
    <w:multiLevelType w:val="multilevel"/>
    <w:tmpl w:val="D4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935D0"/>
    <w:multiLevelType w:val="multilevel"/>
    <w:tmpl w:val="6D02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A74E3"/>
    <w:multiLevelType w:val="multilevel"/>
    <w:tmpl w:val="CF4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83CD7"/>
    <w:multiLevelType w:val="multilevel"/>
    <w:tmpl w:val="A5D0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24EA9"/>
    <w:multiLevelType w:val="multilevel"/>
    <w:tmpl w:val="E39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3168"/>
    <w:multiLevelType w:val="multilevel"/>
    <w:tmpl w:val="43FC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77703"/>
    <w:multiLevelType w:val="multilevel"/>
    <w:tmpl w:val="1D0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019D6"/>
    <w:multiLevelType w:val="multilevel"/>
    <w:tmpl w:val="D7D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03205"/>
    <w:multiLevelType w:val="multilevel"/>
    <w:tmpl w:val="D4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42C27"/>
    <w:multiLevelType w:val="hybridMultilevel"/>
    <w:tmpl w:val="417CA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3F8A"/>
    <w:multiLevelType w:val="multilevel"/>
    <w:tmpl w:val="C49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749FA"/>
    <w:multiLevelType w:val="multilevel"/>
    <w:tmpl w:val="957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E5551"/>
    <w:multiLevelType w:val="multilevel"/>
    <w:tmpl w:val="81B8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8751F"/>
    <w:multiLevelType w:val="multilevel"/>
    <w:tmpl w:val="1190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84112"/>
    <w:multiLevelType w:val="multilevel"/>
    <w:tmpl w:val="17C4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A086C"/>
    <w:multiLevelType w:val="multilevel"/>
    <w:tmpl w:val="A75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736230">
    <w:abstractNumId w:val="3"/>
  </w:num>
  <w:num w:numId="2" w16cid:durableId="144249504">
    <w:abstractNumId w:val="17"/>
  </w:num>
  <w:num w:numId="3" w16cid:durableId="1898394677">
    <w:abstractNumId w:val="12"/>
  </w:num>
  <w:num w:numId="4" w16cid:durableId="1960338443">
    <w:abstractNumId w:val="15"/>
  </w:num>
  <w:num w:numId="5" w16cid:durableId="2040398333">
    <w:abstractNumId w:val="7"/>
  </w:num>
  <w:num w:numId="6" w16cid:durableId="1317414623">
    <w:abstractNumId w:val="20"/>
  </w:num>
  <w:num w:numId="7" w16cid:durableId="659428849">
    <w:abstractNumId w:val="19"/>
  </w:num>
  <w:num w:numId="8" w16cid:durableId="2027247542">
    <w:abstractNumId w:val="0"/>
  </w:num>
  <w:num w:numId="9" w16cid:durableId="2021855364">
    <w:abstractNumId w:val="8"/>
  </w:num>
  <w:num w:numId="10" w16cid:durableId="417407555">
    <w:abstractNumId w:val="11"/>
  </w:num>
  <w:num w:numId="11" w16cid:durableId="323051277">
    <w:abstractNumId w:val="16"/>
  </w:num>
  <w:num w:numId="12" w16cid:durableId="79565104">
    <w:abstractNumId w:val="9"/>
  </w:num>
  <w:num w:numId="13" w16cid:durableId="1569723749">
    <w:abstractNumId w:val="10"/>
  </w:num>
  <w:num w:numId="14" w16cid:durableId="686638866">
    <w:abstractNumId w:val="6"/>
  </w:num>
  <w:num w:numId="15" w16cid:durableId="854072043">
    <w:abstractNumId w:val="18"/>
  </w:num>
  <w:num w:numId="16" w16cid:durableId="299458362">
    <w:abstractNumId w:val="4"/>
  </w:num>
  <w:num w:numId="17" w16cid:durableId="592056185">
    <w:abstractNumId w:val="14"/>
  </w:num>
  <w:num w:numId="18" w16cid:durableId="631054578">
    <w:abstractNumId w:val="1"/>
  </w:num>
  <w:num w:numId="19" w16cid:durableId="124935543">
    <w:abstractNumId w:val="2"/>
  </w:num>
  <w:num w:numId="20" w16cid:durableId="144518572">
    <w:abstractNumId w:val="5"/>
  </w:num>
  <w:num w:numId="21" w16cid:durableId="1088313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33"/>
    <w:rsid w:val="000342C6"/>
    <w:rsid w:val="000F2C62"/>
    <w:rsid w:val="001078DD"/>
    <w:rsid w:val="0011487E"/>
    <w:rsid w:val="001467F2"/>
    <w:rsid w:val="00161934"/>
    <w:rsid w:val="00252753"/>
    <w:rsid w:val="00413E4F"/>
    <w:rsid w:val="004B17BB"/>
    <w:rsid w:val="004D7901"/>
    <w:rsid w:val="005D34A3"/>
    <w:rsid w:val="00655E06"/>
    <w:rsid w:val="00672BB9"/>
    <w:rsid w:val="006C69A9"/>
    <w:rsid w:val="006C762C"/>
    <w:rsid w:val="00736427"/>
    <w:rsid w:val="00907933"/>
    <w:rsid w:val="009758C8"/>
    <w:rsid w:val="00B17106"/>
    <w:rsid w:val="00B1736E"/>
    <w:rsid w:val="00DD38B9"/>
    <w:rsid w:val="00E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CCB9C"/>
  <w15:chartTrackingRefBased/>
  <w15:docId w15:val="{B5BAE7A4-3514-44A6-BA71-83DC29EA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2C6"/>
  </w:style>
  <w:style w:type="paragraph" w:styleId="Footer">
    <w:name w:val="footer"/>
    <w:basedOn w:val="Normal"/>
    <w:link w:val="FooterChar"/>
    <w:uiPriority w:val="99"/>
    <w:unhideWhenUsed/>
    <w:rsid w:val="00034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2C6"/>
  </w:style>
  <w:style w:type="paragraph" w:styleId="ListParagraph">
    <w:name w:val="List Paragraph"/>
    <w:basedOn w:val="Normal"/>
    <w:uiPriority w:val="34"/>
    <w:qFormat/>
    <w:rsid w:val="0041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634</Words>
  <Characters>3769</Characters>
  <Application>Microsoft Office Word</Application>
  <DocSecurity>0</DocSecurity>
  <Lines>150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soji</dc:creator>
  <cp:keywords/>
  <dc:description/>
  <cp:lastModifiedBy>joel soji</cp:lastModifiedBy>
  <cp:revision>3</cp:revision>
  <dcterms:created xsi:type="dcterms:W3CDTF">2024-12-04T17:38:00Z</dcterms:created>
  <dcterms:modified xsi:type="dcterms:W3CDTF">2024-12-04T17:41:00Z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3d6922e9-e315-4847-89a6-115a8df7d1a8</vt:lpwstr>
  </property>
</Properties>
</file>