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E"/>
          <w:sz w:val="40"/>
          <w:szCs w:val="40"/>
        </w:rPr>
        <w:t xml:space="preserve">Geleidende contactsticker voor pucks</w:t>
      </w:r>
    </w:p>
    <w:p>
      <w:pPr>
        <w:pBdr>
          <w:bottom w:val="single" w:color="DDDDDD" w:sz="6" w:space="8"/>
        </w:pBdr>
        <w:spacing w:after="320"/>
      </w:pPr>
      <w:r>
        <w:rPr>
          <w:rFonts w:ascii="Calibri" w:cs="Calibri" w:eastAsia="Calibri" w:hAnsi="Calibri"/>
          <w:color w:val="5A5A60"/>
          <w:sz w:val="20"/>
          <w:szCs w:val="20"/>
        </w:rPr>
        <w:t xml:space="preserve">Productiespecificatie en offerteaanvraag · 4 varianten · ontwerp A · revisie 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700"/>
        <w:gridCol w:w="3200"/>
        <w:gridCol w:w="2000"/>
        <w:gridCol w:w="2738"/>
      </w:tblGrid>
      <w:tr>
        <w:trPr>
          <w:cantSplit/>
        </w:trPr>
        <w:tc>
          <w:tcPr>
            <w:tcW w:type="dxa" w:w="1700"/>
            <w:tcMar>
              <w:top w:type="dxa" w:w="60"/>
              <w:left w:type="dxa" w:w="100"/>
              <w:bottom w:type="dxa" w:w="60"/>
              <w:right w:type="dxa" w:w="100"/>
            </w:tcMar>
          </w:tcPr>
          <w:p>
            <w:pPr>
              <w:spacing w:after="0"/>
            </w:pPr>
            <w:r>
              <w:rPr>
                <w:rFonts w:ascii="Calibri" w:cs="Calibri" w:eastAsia="Calibri" w:hAnsi="Calibri"/>
                <w:b/>
                <w:bCs/>
                <w:color w:val="1A1A1E"/>
                <w:sz w:val="19"/>
                <w:szCs w:val="19"/>
              </w:rPr>
              <w:t xml:space="preserve">Contact</w:t>
            </w:r>
          </w:p>
        </w:tc>
        <w:tc>
          <w:tcPr>
            <w:tcW w:type="dxa" w:w="32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Joep Groenteman</w:t>
            </w:r>
          </w:p>
        </w:tc>
        <w:tc>
          <w:tcPr>
            <w:tcW w:type="dxa" w:w="2000"/>
            <w:tcMar>
              <w:top w:type="dxa" w:w="60"/>
              <w:left w:type="dxa" w:w="100"/>
              <w:bottom w:type="dxa" w:w="60"/>
              <w:right w:type="dxa" w:w="100"/>
            </w:tcMar>
          </w:tcPr>
          <w:p>
            <w:pPr>
              <w:spacing w:after="0"/>
            </w:pPr>
            <w:r>
              <w:rPr>
                <w:rFonts w:ascii="Calibri" w:cs="Calibri" w:eastAsia="Calibri" w:hAnsi="Calibri"/>
                <w:b/>
                <w:bCs/>
                <w:color w:val="1A1A1E"/>
                <w:sz w:val="19"/>
                <w:szCs w:val="19"/>
              </w:rPr>
              <w:t xml:space="preserve">Documentdatum</w:t>
            </w:r>
          </w:p>
        </w:tc>
        <w:tc>
          <w:tcPr>
            <w:tcW w:type="dxa" w:w="27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7 september 2026</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b/>
                <w:bCs/>
                <w:color w:val="1A1A1E"/>
                <w:sz w:val="19"/>
                <w:szCs w:val="19"/>
              </w:rPr>
              <w:t xml:space="preserve">E-mail</w:t>
            </w:r>
          </w:p>
        </w:tc>
        <w:tc>
          <w:tcPr>
            <w:tcW w:type="dxa" w:w="32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joep@scape.agency</w:t>
            </w:r>
          </w:p>
        </w:tc>
        <w:tc>
          <w:tcPr>
            <w:tcW w:type="dxa" w:w="2000"/>
            <w:tcMar>
              <w:top w:type="dxa" w:w="60"/>
              <w:left w:type="dxa" w:w="100"/>
              <w:bottom w:type="dxa" w:w="60"/>
              <w:right w:type="dxa" w:w="100"/>
            </w:tcMar>
          </w:tcPr>
          <w:p>
            <w:pPr>
              <w:spacing w:after="0"/>
            </w:pPr>
            <w:r>
              <w:rPr>
                <w:rFonts w:ascii="Calibri" w:cs="Calibri" w:eastAsia="Calibri" w:hAnsi="Calibri"/>
                <w:b/>
                <w:bCs/>
                <w:color w:val="1A1A1E"/>
                <w:sz w:val="19"/>
                <w:szCs w:val="19"/>
              </w:rPr>
              <w:t xml:space="preserve">Eenheden</w:t>
            </w:r>
          </w:p>
        </w:tc>
        <w:tc>
          <w:tcPr>
            <w:tcW w:type="dxa" w:w="27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millimeter</w:t>
            </w:r>
          </w:p>
        </w:tc>
      </w:tr>
    </w:tbl>
    <w:p>
      <w:pPr>
        <w:spacing w:after="160" w:line="276"/>
      </w:pPr>
      <w:r>
        <w:rPr>
          <w:rFonts w:ascii="Calibri" w:cs="Calibri" w:eastAsia="Calibri" w:hAnsi="Calibri"/>
          <w:b w:val="false"/>
          <w:bCs w:val="false"/>
          <w:i w:val="false"/>
          <w:iCs w:val="false"/>
          <w:color w:val="1A1A1E"/>
          <w:sz w:val="20"/>
          <w:szCs w:val="20"/>
        </w:rPr>
        <w:t xml:space="preserve"/>
      </w:r>
    </w:p>
    <w:p>
      <w:pPr>
        <w:spacing w:after="120" w:line="276"/>
      </w:pPr>
      <w:r>
        <w:rPr>
          <w:rFonts w:ascii="Calibri" w:cs="Calibri" w:eastAsia="Calibri" w:hAnsi="Calibri"/>
          <w:b w:val="false"/>
          <w:bCs w:val="false"/>
          <w:i w:val="false"/>
          <w:iCs w:val="false"/>
          <w:color w:val="1A1A1E"/>
          <w:sz w:val="20"/>
          <w:szCs w:val="20"/>
        </w:rPr>
        <w:t xml:space="preserve">Gevraagd: vier ronde, zelfklevende stickers die onder een puck geplakt worden en op een capacitief touchscreen (PCAP-tafel) drie contactpunten aanbieden. De onderlinge stand van die drie punten verschilt per variant; daaraan herkent de tafel welke puck er ligt.</w:t>
      </w:r>
    </w:p>
    <w:p>
      <w:pPr>
        <w:pStyle w:val="Heading1"/>
        <w:spacing w:after="160" w:before="320"/>
      </w:pPr>
      <w:r>
        <w:rPr>
          <w:rFonts w:ascii="Calibri" w:cs="Calibri" w:eastAsia="Calibri" w:hAnsi="Calibri"/>
          <w:b/>
          <w:bCs/>
          <w:color w:val="1A1A1E"/>
          <w:sz w:val="26"/>
          <w:szCs w:val="26"/>
        </w:rPr>
        <w:t xml:space="preserve">1  Opdracht in het kort</w:t>
      </w:r>
    </w:p>
    <w:tbl>
      <w:tblPr>
        <w:tblW w:type="dxa" w:w="9638"/>
        <w:tblBorders>
          <w:top w:val="none" w:color="FFFFFF" w:sz="0"/>
          <w:left w:val="none" w:color="FFFFFF" w:sz="0"/>
          <w:bottom w:val="none" w:color="FFFFFF" w:sz="0"/>
          <w:right w:val="none" w:color="FFFFFF" w:sz="0"/>
          <w:insideH w:val="single" w:color="DDDDDD" w:sz="2"/>
          <w:insideV w:val="none" w:color="FFFFFF" w:sz="0"/>
        </w:tblBorders>
      </w:tblPr>
      <w:tblGrid>
        <w:gridCol w:w="2400"/>
        <w:gridCol w:w="7238"/>
      </w:tblGrid>
      <w:tr>
        <w:trPr>
          <w:cantSplit/>
        </w:trPr>
        <w:tc>
          <w:tcPr>
            <w:tcW w:type="dxa" w:w="2400"/>
            <w:tcMar>
              <w:top w:type="dxa" w:w="60"/>
              <w:left w:type="dxa" w:w="100"/>
              <w:bottom w:type="dxa" w:w="60"/>
              <w:right w:type="dxa" w:w="100"/>
            </w:tcMar>
          </w:tcPr>
          <w:p>
            <w:pPr>
              <w:spacing w:after="0"/>
            </w:pPr>
            <w:r>
              <w:rPr>
                <w:rFonts w:ascii="Calibri" w:cs="Calibri" w:eastAsia="Calibri" w:hAnsi="Calibri"/>
                <w:b/>
                <w:bCs/>
                <w:color w:val="1A1A1E"/>
                <w:sz w:val="19"/>
                <w:szCs w:val="19"/>
              </w:rPr>
              <w:t xml:space="preserve">Varianten</w:t>
            </w:r>
          </w:p>
        </w:tc>
        <w:tc>
          <w:tcPr>
            <w:tcW w:type="dxa" w:w="72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4 stuks (puck-01 t/m puck-04), identieke opbouw, afwijkende padposities</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bCs/>
                <w:color w:val="1A1A1E"/>
                <w:sz w:val="19"/>
                <w:szCs w:val="19"/>
              </w:rPr>
              <w:t xml:space="preserve">Aantal</w:t>
            </w:r>
          </w:p>
        </w:tc>
        <w:tc>
          <w:tcPr>
            <w:tcW w:type="dxa" w:w="72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25 per variant = 100 totaal. Graag ook staffelprijs bij 50 en 100 per variant.</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bCs/>
                <w:color w:val="1A1A1E"/>
                <w:sz w:val="19"/>
                <w:szCs w:val="19"/>
              </w:rPr>
              <w:t xml:space="preserve">Vorm</w:t>
            </w:r>
          </w:p>
        </w:tc>
        <w:tc>
          <w:tcPr>
            <w:tcW w:type="dxa" w:w="72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ronde schijf Ø70,0 mm, geen uitstekende lip</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bCs/>
                <w:color w:val="1A1A1E"/>
                <w:sz w:val="19"/>
                <w:szCs w:val="19"/>
              </w:rPr>
              <w:t xml:space="preserve">Contactpunten</w:t>
            </w:r>
          </w:p>
        </w:tc>
        <w:tc>
          <w:tcPr>
            <w:tcW w:type="dxa" w:w="72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3 x Ø10,0 mm, verbonden door banen op een tweede, geïsoleerd niveau</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bCs/>
                <w:color w:val="1A1A1E"/>
                <w:sz w:val="19"/>
                <w:szCs w:val="19"/>
              </w:rPr>
              <w:t xml:space="preserve">Dikte</w:t>
            </w:r>
          </w:p>
        </w:tc>
        <w:tc>
          <w:tcPr>
            <w:tcW w:type="dxa" w:w="72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max. 0,50 mm totaal</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bCs/>
                <w:color w:val="1A1A1E"/>
                <w:sz w:val="19"/>
                <w:szCs w:val="19"/>
              </w:rPr>
              <w:t xml:space="preserve">Toepassing</w:t>
            </w:r>
          </w:p>
        </w:tc>
        <w:tc>
          <w:tcPr>
            <w:tcW w:type="dxa" w:w="72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onderzijde puck Ø75 mm; schuift over tafelglas, binnen, publiek gebruik</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bCs/>
                <w:color w:val="1A1A1E"/>
                <w:sz w:val="19"/>
                <w:szCs w:val="19"/>
              </w:rPr>
              <w:t xml:space="preserve">Levering</w:t>
            </w:r>
          </w:p>
        </w:tc>
        <w:tc>
          <w:tcPr>
            <w:tcW w:type="dxa" w:w="72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per variant verpakt, liner bedrukt met de variantcode</w:t>
            </w:r>
          </w:p>
        </w:tc>
      </w:tr>
    </w:tbl>
    <w:p>
      <w:pPr>
        <w:pStyle w:val="Heading1"/>
        <w:spacing w:after="160" w:before="320"/>
      </w:pPr>
      <w:r>
        <w:rPr>
          <w:rFonts w:ascii="Calibri" w:cs="Calibri" w:eastAsia="Calibri" w:hAnsi="Calibri"/>
          <w:b/>
          <w:bCs/>
          <w:color w:val="1A1A1E"/>
          <w:sz w:val="26"/>
          <w:szCs w:val="26"/>
        </w:rPr>
        <w:t xml:space="preserve">2  Opbouw</w:t>
      </w:r>
    </w:p>
    <w:p>
      <w:pPr>
        <w:spacing w:after="160" w:before="160"/>
        <w:jc w:val="center"/>
      </w:pPr>
      <w:r>
        <w:drawing>
          <wp:inline distT="0" distB="0" distL="0" distR="0">
            <wp:extent cx="6096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057400"/>
                    </a:xfrm>
                    <a:prstGeom prst="rect">
                      <a:avLst/>
                    </a:prstGeom>
                  </pic:spPr>
                </pic:pic>
              </a:graphicData>
            </a:graphic>
          </wp:inline>
        </w:drawing>
      </w:r>
    </w:p>
    <w:p>
      <w:pPr>
        <w:spacing w:after="240"/>
        <w:jc w:val="center"/>
      </w:pPr>
      <w:r>
        <w:rPr>
          <w:rFonts w:ascii="Calibri" w:cs="Calibri" w:eastAsia="Calibri" w:hAnsi="Calibri"/>
          <w:color w:val="5A5A60"/>
          <w:sz w:val="17"/>
          <w:szCs w:val="17"/>
        </w:rPr>
        <w:t xml:space="preserve">Doorsnede van de opbouw, schematisch en niet op schaal. Onderaan de glaszijde.</w:t>
      </w:r>
    </w:p>
    <w:p>
      <w:pPr>
        <w:spacing w:after="120" w:line="276"/>
      </w:pPr>
      <w:r>
        <w:rPr>
          <w:rFonts w:ascii="Calibri" w:cs="Calibri" w:eastAsia="Calibri" w:hAnsi="Calibri"/>
          <w:b w:val="false"/>
          <w:bCs w:val="false"/>
          <w:i w:val="false"/>
          <w:iCs w:val="false"/>
          <w:color w:val="1A1A1E"/>
          <w:sz w:val="20"/>
          <w:szCs w:val="20"/>
        </w:rPr>
        <w:t xml:space="preserve">De opbouw heeft twee geleidende niveaus. Alleen de drie contactpads liggen onderin, direct tegen de glijlaag, en dus zo dicht mogelijk bij het tafelglas. De verbindingsbanen liggen daarboven, achter een isolatielaag van 0,10 - 0,20 mm, zodat ze het glas nergens naderen. Ze zakken alleen ter plaatse van drie vias Ø6 omlaag om het koper van de pads te raken.</w:t>
      </w:r>
    </w:p>
    <w:p>
      <w:pPr>
        <w:spacing w:after="120" w:line="276"/>
      </w:pPr>
      <w:r>
        <w:rPr>
          <w:rFonts w:ascii="Calibri" w:cs="Calibri" w:eastAsia="Calibri" w:hAnsi="Calibri"/>
          <w:b w:val="false"/>
          <w:bCs w:val="false"/>
          <w:i w:val="false"/>
          <w:iCs w:val="false"/>
          <w:color w:val="1A1A1E"/>
          <w:sz w:val="20"/>
          <w:szCs w:val="20"/>
        </w:rPr>
        <w:t xml:space="preserve">Ook de pads zelf raken het glas niet: de gladde, krasvaste toplaag zit ertussen. Capacitief werkt dat prima, want de tafel meet door 0,05 mm folie heen zonder noemenswaardig verlies, en het voorkomt dat blank koper oxideert of strepen op het glas achterlaat.</w:t>
      </w:r>
    </w:p>
    <w:p>
      <w:pPr>
        <w:spacing w:after="120" w:line="276"/>
      </w:pPr>
      <w:r>
        <w:rPr>
          <w:rFonts w:ascii="Calibri" w:cs="Calibri" w:eastAsia="Calibri" w:hAnsi="Calibri"/>
          <w:b w:val="false"/>
          <w:bCs w:val="false"/>
          <w:i w:val="false"/>
          <w:iCs w:val="false"/>
          <w:color w:val="1A1A1E"/>
          <w:sz w:val="20"/>
          <w:szCs w:val="20"/>
        </w:rPr>
        <w:t xml:space="preserve">Het contact met de puck zit in één venster Ø8 in drager en lijmlaag, precies boven pad C. Daar komen beide banen samen, dus één veercontact volstaat.</w:t>
      </w:r>
    </w:p>
    <w:tbl>
      <w:tblPr>
        <w:tblW w:type="dxa" w:w="9638"/>
        <w:tblBorders>
          <w:top w:val="none" w:color="FFFFFF" w:sz="0"/>
          <w:left w:val="none" w:color="FFFFFF" w:sz="0"/>
          <w:bottom w:val="none" w:color="FFFFFF" w:sz="0"/>
          <w:right w:val="none" w:color="FFFFFF" w:sz="0"/>
          <w:insideH w:val="single" w:color="DDDDDD" w:sz="2"/>
          <w:insideV w:val="none" w:color="FFFFFF" w:sz="0"/>
        </w:tblBorders>
      </w:tblPr>
      <w:tblGrid>
        <w:gridCol w:w="1500"/>
        <w:gridCol w:w="2700"/>
        <w:gridCol w:w="1750"/>
        <w:gridCol w:w="3688"/>
      </w:tblGrid>
      <w:tr>
        <w:trPr>
          <w:cantSplit/>
          <w:tblHeader/>
        </w:trPr>
        <w:tc>
          <w:tcPr>
            <w:tcW w:type="dxa" w:w="1500"/>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Laag</w:t>
            </w:r>
          </w:p>
        </w:tc>
        <w:tc>
          <w:tcPr>
            <w:tcW w:type="dxa" w:w="2700"/>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Materiaal</w:t>
            </w:r>
          </w:p>
        </w:tc>
        <w:tc>
          <w:tcPr>
            <w:tcW w:type="dxa" w:w="1750"/>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Dikte</w:t>
            </w:r>
          </w:p>
        </w:tc>
        <w:tc>
          <w:tcPr>
            <w:tcW w:type="dxa" w:w="3688"/>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Eis</w:t>
            </w:r>
          </w:p>
        </w:tc>
      </w:tr>
      <w:tr>
        <w:trPr>
          <w:cantSplit/>
        </w:trPr>
        <w:tc>
          <w:tcPr>
            <w:tcW w:type="dxa" w:w="1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Glijlaag</w:t>
            </w:r>
          </w:p>
        </w:tc>
        <w:tc>
          <w:tcPr>
            <w:tcW w:type="dxa" w:w="27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hardcoated PET, matte finish</w:t>
            </w:r>
          </w:p>
        </w:tc>
        <w:tc>
          <w:tcPr>
            <w:tcW w:type="dxa" w:w="175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0,025 - 0,050 mm</w:t>
            </w:r>
          </w:p>
        </w:tc>
        <w:tc>
          <w:tcPr>
            <w:tcW w:type="dxa" w:w="368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krasvast, lage wrijving, laat geen sporen na</w:t>
            </w:r>
          </w:p>
        </w:tc>
      </w:tr>
      <w:tr>
        <w:trPr>
          <w:cantSplit/>
        </w:trPr>
        <w:tc>
          <w:tcPr>
            <w:tcW w:type="dxa" w:w="1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Contactpads</w:t>
            </w:r>
          </w:p>
        </w:tc>
        <w:tc>
          <w:tcPr>
            <w:tcW w:type="dxa" w:w="27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koperfolie (Cu-ETP) of gezeefdrukt zilver</w:t>
            </w:r>
          </w:p>
        </w:tc>
        <w:tc>
          <w:tcPr>
            <w:tcW w:type="dxa" w:w="175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0,035 mm</w:t>
            </w:r>
          </w:p>
        </w:tc>
        <w:tc>
          <w:tcPr>
            <w:tcW w:type="dxa" w:w="368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3x Ø10, direct tegen de glijlaag</w:t>
            </w:r>
          </w:p>
        </w:tc>
      </w:tr>
      <w:tr>
        <w:trPr>
          <w:cantSplit/>
        </w:trPr>
        <w:tc>
          <w:tcPr>
            <w:tcW w:type="dxa" w:w="1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Isolatielaag</w:t>
            </w:r>
          </w:p>
        </w:tc>
        <w:tc>
          <w:tcPr>
            <w:tcW w:type="dxa" w:w="27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PET-folie of gedrukt dielektricum</w:t>
            </w:r>
          </w:p>
        </w:tc>
        <w:tc>
          <w:tcPr>
            <w:tcW w:type="dxa" w:w="175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0,10 - 0,20 mm</w:t>
            </w:r>
          </w:p>
        </w:tc>
        <w:tc>
          <w:tcPr>
            <w:tcW w:type="dxa" w:w="368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vias Ø6 boven elke pad; scheidt de banen van het glas</w:t>
            </w:r>
          </w:p>
        </w:tc>
      </w:tr>
      <w:tr>
        <w:trPr>
          <w:cantSplit/>
        </w:trPr>
        <w:tc>
          <w:tcPr>
            <w:tcW w:type="dxa" w:w="1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Banen</w:t>
            </w:r>
          </w:p>
        </w:tc>
        <w:tc>
          <w:tcPr>
            <w:tcW w:type="dxa" w:w="27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zelfde geleider als de pads</w:t>
            </w:r>
          </w:p>
        </w:tc>
        <w:tc>
          <w:tcPr>
            <w:tcW w:type="dxa" w:w="175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0,035 mm</w:t>
            </w:r>
          </w:p>
        </w:tc>
        <w:tc>
          <w:tcPr>
            <w:tcW w:type="dxa" w:w="368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1,2 mm breed, contact met de pads via de vias</w:t>
            </w:r>
          </w:p>
        </w:tc>
      </w:tr>
      <w:tr>
        <w:trPr>
          <w:cantSplit/>
        </w:trPr>
        <w:tc>
          <w:tcPr>
            <w:tcW w:type="dxa" w:w="1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Drager</w:t>
            </w:r>
          </w:p>
        </w:tc>
        <w:tc>
          <w:tcPr>
            <w:tcW w:type="dxa" w:w="27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PET</w:t>
            </w:r>
          </w:p>
        </w:tc>
        <w:tc>
          <w:tcPr>
            <w:tcW w:type="dxa" w:w="175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0,05 mm</w:t>
            </w:r>
          </w:p>
        </w:tc>
        <w:tc>
          <w:tcPr>
            <w:tcW w:type="dxa" w:w="368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venster Ø8 boven pad C</w:t>
            </w:r>
          </w:p>
        </w:tc>
      </w:tr>
      <w:tr>
        <w:trPr>
          <w:cantSplit/>
        </w:trPr>
        <w:tc>
          <w:tcPr>
            <w:tcW w:type="dxa" w:w="1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Lijm</w:t>
            </w:r>
          </w:p>
        </w:tc>
        <w:tc>
          <w:tcPr>
            <w:tcW w:type="dxa" w:w="27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acrylaat, permanent</w:t>
            </w:r>
          </w:p>
        </w:tc>
        <w:tc>
          <w:tcPr>
            <w:tcW w:type="dxa" w:w="175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ca. 0,05 mm</w:t>
            </w:r>
          </w:p>
        </w:tc>
        <w:tc>
          <w:tcPr>
            <w:tcW w:type="dxa" w:w="368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hecht op PC, ABS, PLA en hout</w:t>
            </w:r>
          </w:p>
        </w:tc>
      </w:tr>
      <w:tr>
        <w:trPr>
          <w:cantSplit/>
        </w:trPr>
        <w:tc>
          <w:tcPr>
            <w:tcW w:type="dxa" w:w="1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Liner</w:t>
            </w:r>
          </w:p>
        </w:tc>
        <w:tc>
          <w:tcPr>
            <w:tcW w:type="dxa" w:w="27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siliconenpapier</w:t>
            </w:r>
          </w:p>
        </w:tc>
        <w:tc>
          <w:tcPr>
            <w:tcW w:type="dxa" w:w="175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
            </w:r>
          </w:p>
        </w:tc>
        <w:tc>
          <w:tcPr>
            <w:tcW w:type="dxa" w:w="368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bedrukt met de variantcode</w:t>
            </w:r>
          </w:p>
        </w:tc>
      </w:tr>
    </w:tbl>
    <w:p>
      <w:pPr>
        <w:spacing w:after="60" w:line="276"/>
      </w:pPr>
      <w:r>
        <w:rPr>
          <w:rFonts w:ascii="Calibri" w:cs="Calibri" w:eastAsia="Calibri" w:hAnsi="Calibri"/>
          <w:b w:val="false"/>
          <w:bCs w:val="false"/>
          <w:i w:val="false"/>
          <w:iCs w:val="false"/>
          <w:color w:val="1A1A1E"/>
          <w:sz w:val="20"/>
          <w:szCs w:val="20"/>
        </w:rPr>
        <w:t xml:space="preserve"/>
      </w:r>
    </w:p>
    <w:p>
      <w:pPr>
        <w:spacing w:after="120" w:line="276"/>
      </w:pPr>
      <w:r>
        <w:rPr>
          <w:rFonts w:ascii="Calibri" w:cs="Calibri" w:eastAsia="Calibri" w:hAnsi="Calibri"/>
          <w:b w:val="false"/>
          <w:bCs w:val="false"/>
          <w:i w:val="false"/>
          <w:iCs w:val="false"/>
          <w:color w:val="5A5A60"/>
          <w:sz w:val="18"/>
          <w:szCs w:val="18"/>
        </w:rPr>
        <w:t xml:space="preserve">Een gelijkwaardige eigen opbouw is welkom, mits de functionele eisen gehaald worden.</w:t>
      </w:r>
    </w:p>
    <w:p>
      <w:pPr>
        <w:pStyle w:val="Heading1"/>
        <w:spacing w:after="160" w:before="320"/>
      </w:pPr>
      <w:r>
        <w:rPr>
          <w:rFonts w:ascii="Calibri" w:cs="Calibri" w:eastAsia="Calibri" w:hAnsi="Calibri"/>
          <w:b/>
          <w:bCs/>
          <w:color w:val="1A1A1E"/>
          <w:sz w:val="26"/>
          <w:szCs w:val="26"/>
        </w:rPr>
        <w:t xml:space="preserve">3  Maatvoering</w:t>
      </w:r>
    </w:p>
    <w:p>
      <w:pPr>
        <w:spacing w:after="120" w:line="276"/>
      </w:pPr>
      <w:r>
        <w:rPr>
          <w:rFonts w:ascii="Calibri" w:cs="Calibri" w:eastAsia="Calibri" w:hAnsi="Calibri"/>
          <w:b w:val="false"/>
          <w:bCs w:val="false"/>
          <w:i w:val="false"/>
          <w:iCs w:val="false"/>
          <w:color w:val="5A5A60"/>
          <w:sz w:val="18"/>
          <w:szCs w:val="18"/>
        </w:rPr>
        <w:t xml:space="preserve">Aanzicht vanaf de glaszijde. De coördinatentabel is leidend voor de productie; de afbeeldingen in dit document staan niet op schaal. Gebruik de meegeleverde DXF-bestanden, die zijn op ware grootte in millimeters.</w:t>
      </w:r>
    </w:p>
    <w:p>
      <w:pPr>
        <w:spacing w:after="160" w:before="160"/>
        <w:jc w:val="center"/>
      </w:pPr>
      <w:r>
        <w:drawing>
          <wp:inline distT="0" distB="0" distL="0" distR="0">
            <wp:extent cx="5905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05150"/>
                    </a:xfrm>
                    <a:prstGeom prst="rect">
                      <a:avLst/>
                    </a:prstGeom>
                  </pic:spPr>
                </pic:pic>
              </a:graphicData>
            </a:graphic>
          </wp:inline>
        </w:drawing>
      </w:r>
    </w:p>
    <w:p>
      <w:pPr>
        <w:spacing w:after="240"/>
        <w:jc w:val="center"/>
      </w:pPr>
      <w:r>
        <w:rPr>
          <w:rFonts w:ascii="Calibri" w:cs="Calibri" w:eastAsia="Calibri" w:hAnsi="Calibri"/>
          <w:color w:val="5A5A60"/>
          <w:sz w:val="17"/>
          <w:szCs w:val="17"/>
        </w:rPr>
        <w:t xml:space="preserve">puck-01, representatief voor alle vier de varianten.</w:t>
      </w:r>
    </w:p>
    <w:tbl>
      <w:tblPr>
        <w:tblW w:type="dxa" w:w="9638"/>
        <w:tblBorders>
          <w:top w:val="none" w:color="FFFFFF" w:sz="0"/>
          <w:left w:val="none" w:color="FFFFFF" w:sz="0"/>
          <w:bottom w:val="none" w:color="FFFFFF" w:sz="0"/>
          <w:right w:val="none" w:color="FFFFFF" w:sz="0"/>
          <w:insideH w:val="single" w:color="DDDDDD" w:sz="2"/>
          <w:insideV w:val="none" w:color="FFFFFF" w:sz="0"/>
        </w:tblBorders>
      </w:tblPr>
      <w:tblGrid>
        <w:gridCol w:w="1150"/>
        <w:gridCol w:w="830"/>
        <w:gridCol w:w="830"/>
        <w:gridCol w:w="830"/>
        <w:gridCol w:w="830"/>
        <w:gridCol w:w="830"/>
        <w:gridCol w:w="830"/>
        <w:gridCol w:w="2058"/>
        <w:gridCol w:w="1450"/>
      </w:tblGrid>
      <w:tr>
        <w:trPr>
          <w:cantSplit/>
          <w:tblHeader/>
        </w:trPr>
        <w:tc>
          <w:tcPr>
            <w:tcW w:type="dxa" w:w="1150"/>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variant</w:t>
            </w:r>
          </w:p>
        </w:tc>
        <w:tc>
          <w:tcPr>
            <w:tcW w:type="dxa" w:w="830"/>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A  X</w:t>
            </w:r>
          </w:p>
        </w:tc>
        <w:tc>
          <w:tcPr>
            <w:tcW w:type="dxa" w:w="830"/>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A  Y</w:t>
            </w:r>
          </w:p>
        </w:tc>
        <w:tc>
          <w:tcPr>
            <w:tcW w:type="dxa" w:w="830"/>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B  X</w:t>
            </w:r>
          </w:p>
        </w:tc>
        <w:tc>
          <w:tcPr>
            <w:tcW w:type="dxa" w:w="830"/>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B  Y</w:t>
            </w:r>
          </w:p>
        </w:tc>
        <w:tc>
          <w:tcPr>
            <w:tcW w:type="dxa" w:w="830"/>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C  X</w:t>
            </w:r>
          </w:p>
        </w:tc>
        <w:tc>
          <w:tcPr>
            <w:tcW w:type="dxa" w:w="830"/>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C  Y</w:t>
            </w:r>
          </w:p>
        </w:tc>
        <w:tc>
          <w:tcPr>
            <w:tcW w:type="dxa" w:w="2058"/>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zijden</w:t>
            </w:r>
          </w:p>
        </w:tc>
        <w:tc>
          <w:tcPr>
            <w:tcW w:type="dxa" w:w="1450"/>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verhouding</w:t>
            </w:r>
          </w:p>
        </w:tc>
      </w:tr>
      <w:tr>
        <w:trPr>
          <w:cantSplit/>
        </w:trPr>
        <w:tc>
          <w:tcPr>
            <w:tcW w:type="dxa" w:w="1150"/>
            <w:tcMar>
              <w:top w:type="dxa" w:w="60"/>
              <w:left w:type="dxa" w:w="100"/>
              <w:bottom w:type="dxa" w:w="60"/>
              <w:right w:type="dxa" w:w="100"/>
            </w:tcMar>
          </w:tcPr>
          <w:p>
            <w:pPr>
              <w:spacing w:after="0"/>
            </w:pPr>
            <w:r>
              <w:rPr>
                <w:rFonts w:ascii="Calibri" w:cs="Calibri" w:eastAsia="Calibri" w:hAnsi="Calibri"/>
                <w:b/>
                <w:bCs/>
                <w:color w:val="1A1A1E"/>
                <w:sz w:val="19"/>
                <w:szCs w:val="19"/>
              </w:rPr>
              <w:t xml:space="preserve">puck-01</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-19,4</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-23,7</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+19,4</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+7,8</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+0,0</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+15,8</w:t>
            </w:r>
          </w:p>
        </w:tc>
        <w:tc>
          <w:tcPr>
            <w:tcW w:type="dxa" w:w="205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21,0 · 44,0 · 50,0</w:t>
            </w:r>
          </w:p>
        </w:tc>
        <w:tc>
          <w:tcPr>
            <w:tcW w:type="dxa" w:w="145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0,42 / 0,88</w:t>
            </w:r>
          </w:p>
        </w:tc>
      </w:tr>
      <w:tr>
        <w:trPr>
          <w:cantSplit/>
        </w:trPr>
        <w:tc>
          <w:tcPr>
            <w:tcW w:type="dxa" w:w="1150"/>
            <w:tcMar>
              <w:top w:type="dxa" w:w="60"/>
              <w:left w:type="dxa" w:w="100"/>
              <w:bottom w:type="dxa" w:w="60"/>
              <w:right w:type="dxa" w:w="100"/>
            </w:tcMar>
          </w:tcPr>
          <w:p>
            <w:pPr>
              <w:spacing w:after="0"/>
            </w:pPr>
            <w:r>
              <w:rPr>
                <w:rFonts w:ascii="Calibri" w:cs="Calibri" w:eastAsia="Calibri" w:hAnsi="Calibri"/>
                <w:b/>
                <w:bCs/>
                <w:color w:val="1A1A1E"/>
                <w:sz w:val="19"/>
                <w:szCs w:val="19"/>
              </w:rPr>
              <w:t xml:space="preserve">puck-02</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-24,5</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-11,2</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+24,5</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-1,2</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+0,0</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+12,4</w:t>
            </w:r>
          </w:p>
        </w:tc>
        <w:tc>
          <w:tcPr>
            <w:tcW w:type="dxa" w:w="205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28,0 · 34,0 · 50,0</w:t>
            </w:r>
          </w:p>
        </w:tc>
        <w:tc>
          <w:tcPr>
            <w:tcW w:type="dxa" w:w="145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0,56 / 0,68</w:t>
            </w:r>
          </w:p>
        </w:tc>
      </w:tr>
      <w:tr>
        <w:trPr>
          <w:cantSplit/>
        </w:trPr>
        <w:tc>
          <w:tcPr>
            <w:tcW w:type="dxa" w:w="1150"/>
            <w:tcMar>
              <w:top w:type="dxa" w:w="60"/>
              <w:left w:type="dxa" w:w="100"/>
              <w:bottom w:type="dxa" w:w="60"/>
              <w:right w:type="dxa" w:w="100"/>
            </w:tcMar>
          </w:tcPr>
          <w:p>
            <w:pPr>
              <w:spacing w:after="0"/>
            </w:pPr>
            <w:r>
              <w:rPr>
                <w:rFonts w:ascii="Calibri" w:cs="Calibri" w:eastAsia="Calibri" w:hAnsi="Calibri"/>
                <w:b/>
                <w:bCs/>
                <w:color w:val="1A1A1E"/>
                <w:sz w:val="19"/>
                <w:szCs w:val="19"/>
              </w:rPr>
              <w:t xml:space="preserve">puck-03</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-23,4</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-17,7</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+23,4</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-0,1</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+0,0</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+17,8</w:t>
            </w:r>
          </w:p>
        </w:tc>
        <w:tc>
          <w:tcPr>
            <w:tcW w:type="dxa" w:w="205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29,5 · 42,5 · 50,0</w:t>
            </w:r>
          </w:p>
        </w:tc>
        <w:tc>
          <w:tcPr>
            <w:tcW w:type="dxa" w:w="145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0,59 / 0,85</w:t>
            </w:r>
          </w:p>
        </w:tc>
      </w:tr>
      <w:tr>
        <w:trPr>
          <w:cantSplit/>
        </w:trPr>
        <w:tc>
          <w:tcPr>
            <w:tcW w:type="dxa" w:w="1150"/>
            <w:tcMar>
              <w:top w:type="dxa" w:w="60"/>
              <w:left w:type="dxa" w:w="100"/>
              <w:bottom w:type="dxa" w:w="60"/>
              <w:right w:type="dxa" w:w="100"/>
            </w:tcMar>
          </w:tcPr>
          <w:p>
            <w:pPr>
              <w:spacing w:after="0"/>
            </w:pPr>
            <w:r>
              <w:rPr>
                <w:rFonts w:ascii="Calibri" w:cs="Calibri" w:eastAsia="Calibri" w:hAnsi="Calibri"/>
                <w:b/>
                <w:bCs/>
                <w:color w:val="1A1A1E"/>
                <w:sz w:val="19"/>
                <w:szCs w:val="19"/>
              </w:rPr>
              <w:t xml:space="preserve">puck-04</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-24,7</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-14,6</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+24,7</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-7,1</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+0,0</w:t>
            </w:r>
          </w:p>
        </w:tc>
        <w:tc>
          <w:tcPr>
            <w:tcW w:type="dxa" w:w="83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+21,8</w:t>
            </w:r>
          </w:p>
        </w:tc>
        <w:tc>
          <w:tcPr>
            <w:tcW w:type="dxa" w:w="205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38,0 · 44,0 · 50,0</w:t>
            </w:r>
          </w:p>
        </w:tc>
        <w:tc>
          <w:tcPr>
            <w:tcW w:type="dxa" w:w="145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0,76 / 0,88</w:t>
            </w:r>
          </w:p>
        </w:tc>
      </w:tr>
    </w:tbl>
    <w:p>
      <w:pPr>
        <w:spacing w:after="60" w:line="276"/>
      </w:pPr>
      <w:r>
        <w:rPr>
          <w:rFonts w:ascii="Calibri" w:cs="Calibri" w:eastAsia="Calibri" w:hAnsi="Calibri"/>
          <w:b w:val="false"/>
          <w:bCs w:val="false"/>
          <w:i w:val="false"/>
          <w:iCs w:val="false"/>
          <w:color w:val="1A1A1E"/>
          <w:sz w:val="20"/>
          <w:szCs w:val="20"/>
        </w:rPr>
        <w:t xml:space="preserve"/>
      </w:r>
    </w:p>
    <w:p>
      <w:pPr>
        <w:spacing w:after="120" w:line="276"/>
      </w:pPr>
      <w:r>
        <w:rPr>
          <w:rFonts w:ascii="Calibri" w:cs="Calibri" w:eastAsia="Calibri" w:hAnsi="Calibri"/>
          <w:b w:val="false"/>
          <w:bCs w:val="false"/>
          <w:i w:val="false"/>
          <w:iCs w:val="false"/>
          <w:color w:val="5A5A60"/>
          <w:sz w:val="18"/>
          <w:szCs w:val="18"/>
        </w:rPr>
        <w:t xml:space="preserve">Nulpunt = hart van de schijf. X naar rechts, Y naar de voorkant (C). Zijdelengtes zijn referentiematen, afgeleid uit de coördinaten.</w:t>
      </w:r>
    </w:p>
    <w:p>
      <w:pPr>
        <w:pStyle w:val="Heading1"/>
        <w:spacing w:after="160" w:before="320"/>
      </w:pPr>
      <w:r>
        <w:rPr>
          <w:rFonts w:ascii="Calibri" w:cs="Calibri" w:eastAsia="Calibri" w:hAnsi="Calibri"/>
          <w:b/>
          <w:bCs/>
          <w:color w:val="1A1A1E"/>
          <w:sz w:val="26"/>
          <w:szCs w:val="26"/>
        </w:rPr>
        <w:t xml:space="preserve">4  Toleranties en functionele eisen</w:t>
      </w:r>
    </w:p>
    <w:tbl>
      <w:tblPr>
        <w:tblW w:type="dxa" w:w="9638"/>
        <w:tblBorders>
          <w:top w:val="none" w:color="FFFFFF" w:sz="0"/>
          <w:left w:val="none" w:color="FFFFFF" w:sz="0"/>
          <w:bottom w:val="none" w:color="FFFFFF" w:sz="0"/>
          <w:right w:val="none" w:color="FFFFFF" w:sz="0"/>
          <w:insideH w:val="single" w:color="DDDDDD" w:sz="2"/>
          <w:insideV w:val="none" w:color="FFFFFF" w:sz="0"/>
        </w:tblBorders>
      </w:tblPr>
      <w:tblGrid>
        <w:gridCol w:w="2500"/>
        <w:gridCol w:w="1900"/>
        <w:gridCol w:w="2200"/>
        <w:gridCol w:w="3038"/>
      </w:tblGrid>
      <w:tr>
        <w:trPr>
          <w:cantSplit/>
          <w:tblHeader/>
        </w:trPr>
        <w:tc>
          <w:tcPr>
            <w:tcW w:type="dxa" w:w="2500"/>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Tolerantie</w:t>
            </w:r>
          </w:p>
        </w:tc>
        <w:tc>
          <w:tcPr>
            <w:tcW w:type="dxa" w:w="1900"/>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
            </w:r>
          </w:p>
        </w:tc>
        <w:tc>
          <w:tcPr>
            <w:tcW w:type="dxa" w:w="2200"/>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Functionele eis</w:t>
            </w:r>
          </w:p>
        </w:tc>
        <w:tc>
          <w:tcPr>
            <w:tcW w:type="dxa" w:w="3038"/>
            <w:shd w:fill="F2F2F0" w:color="auto" w:val="clear"/>
            <w:tcMar>
              <w:top w:type="dxa" w:w="60"/>
              <w:left w:type="dxa" w:w="100"/>
              <w:bottom w:type="dxa" w:w="60"/>
              <w:right w:type="dxa" w:w="100"/>
            </w:tcMar>
          </w:tcPr>
          <w:p>
            <w:pPr>
              <w:spacing w:after="0"/>
            </w:pPr>
            <w:r>
              <w:rPr>
                <w:rFonts w:ascii="Calibri" w:cs="Calibri" w:eastAsia="Calibri" w:hAnsi="Calibri"/>
                <w:b/>
                <w:bCs/>
                <w:color w:val="5A5A60"/>
                <w:sz w:val="18"/>
                <w:szCs w:val="18"/>
              </w:rPr>
              <w:t xml:space="preserve"/>
            </w:r>
          </w:p>
        </w:tc>
      </w:tr>
      <w:tr>
        <w:trPr>
          <w:cantSplit/>
        </w:trPr>
        <w:tc>
          <w:tcPr>
            <w:tcW w:type="dxa" w:w="2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Padhart t.o.v. nulpunt</w:t>
            </w:r>
          </w:p>
        </w:tc>
        <w:tc>
          <w:tcPr>
            <w:tcW w:type="dxa" w:w="19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 0,3 mm</w:t>
            </w:r>
          </w:p>
        </w:tc>
        <w:tc>
          <w:tcPr>
            <w:tcW w:type="dxa" w:w="22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Pads onderling</w:t>
            </w:r>
          </w:p>
        </w:tc>
        <w:tc>
          <w:tcPr>
            <w:tcW w:type="dxa" w:w="30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doorverbonden, max. 5 ohm</w:t>
            </w:r>
          </w:p>
        </w:tc>
      </w:tr>
      <w:tr>
        <w:trPr>
          <w:cantSplit/>
        </w:trPr>
        <w:tc>
          <w:tcPr>
            <w:tcW w:type="dxa" w:w="2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Onderlinge hartafstand</w:t>
            </w:r>
          </w:p>
        </w:tc>
        <w:tc>
          <w:tcPr>
            <w:tcW w:type="dxa" w:w="19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 0,3 mm</w:t>
            </w:r>
          </w:p>
        </w:tc>
        <w:tc>
          <w:tcPr>
            <w:tcW w:type="dxa" w:w="22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Via-contact</w:t>
            </w:r>
          </w:p>
        </w:tc>
        <w:tc>
          <w:tcPr>
            <w:tcW w:type="dxa" w:w="30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max. 2 ohm per via</w:t>
            </w:r>
          </w:p>
        </w:tc>
      </w:tr>
      <w:tr>
        <w:trPr>
          <w:cantSplit/>
        </w:trPr>
        <w:tc>
          <w:tcPr>
            <w:tcW w:type="dxa" w:w="2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Paddiameter</w:t>
            </w:r>
          </w:p>
        </w:tc>
        <w:tc>
          <w:tcPr>
            <w:tcW w:type="dxa" w:w="19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Ø10,0 ± 0,2 mm</w:t>
            </w:r>
          </w:p>
        </w:tc>
        <w:tc>
          <w:tcPr>
            <w:tcW w:type="dxa" w:w="22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Banen naar glaszijde</w:t>
            </w:r>
          </w:p>
        </w:tc>
        <w:tc>
          <w:tcPr>
            <w:tcW w:type="dxa" w:w="30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overal achter de isolatielaag</w:t>
            </w:r>
          </w:p>
        </w:tc>
      </w:tr>
      <w:tr>
        <w:trPr>
          <w:cantSplit/>
        </w:trPr>
        <w:tc>
          <w:tcPr>
            <w:tcW w:type="dxa" w:w="2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Buitendiameter schijf</w:t>
            </w:r>
          </w:p>
        </w:tc>
        <w:tc>
          <w:tcPr>
            <w:tcW w:type="dxa" w:w="19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Ø70,0 ± 0,3 mm</w:t>
            </w:r>
          </w:p>
        </w:tc>
        <w:tc>
          <w:tcPr>
            <w:tcW w:type="dxa" w:w="22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Puckcontact</w:t>
            </w:r>
          </w:p>
        </w:tc>
        <w:tc>
          <w:tcPr>
            <w:tcW w:type="dxa" w:w="30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venster Ø8 boven pad C</w:t>
            </w:r>
          </w:p>
        </w:tc>
      </w:tr>
      <w:tr>
        <w:trPr>
          <w:cantSplit/>
        </w:trPr>
        <w:tc>
          <w:tcPr>
            <w:tcW w:type="dxa" w:w="2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Pads t.o.v. buitenomtrek</w:t>
            </w:r>
          </w:p>
        </w:tc>
        <w:tc>
          <w:tcPr>
            <w:tcW w:type="dxa" w:w="19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 0,5 mm</w:t>
            </w:r>
          </w:p>
        </w:tc>
        <w:tc>
          <w:tcPr>
            <w:tcW w:type="dxa" w:w="22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Glaszijde</w:t>
            </w:r>
          </w:p>
        </w:tc>
        <w:tc>
          <w:tcPr>
            <w:tcW w:type="dxa" w:w="30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geen bramen of harde deeltjes</w:t>
            </w:r>
          </w:p>
        </w:tc>
      </w:tr>
      <w:tr>
        <w:trPr>
          <w:cantSplit/>
        </w:trPr>
        <w:tc>
          <w:tcPr>
            <w:tcW w:type="dxa" w:w="2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Baanbreedte</w:t>
            </w:r>
          </w:p>
        </w:tc>
        <w:tc>
          <w:tcPr>
            <w:tcW w:type="dxa" w:w="19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1,2 ± 0,15 mm</w:t>
            </w:r>
          </w:p>
        </w:tc>
        <w:tc>
          <w:tcPr>
            <w:tcW w:type="dxa" w:w="22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Slijtage</w:t>
            </w:r>
          </w:p>
        </w:tc>
        <w:tc>
          <w:tcPr>
            <w:tcW w:type="dxa" w:w="30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1000 schuifcycli over glas, geen sporen</w:t>
            </w:r>
          </w:p>
        </w:tc>
      </w:tr>
      <w:tr>
        <w:trPr>
          <w:cantSplit/>
        </w:trPr>
        <w:tc>
          <w:tcPr>
            <w:tcW w:type="dxa" w:w="2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Via</w:t>
            </w:r>
          </w:p>
        </w:tc>
        <w:tc>
          <w:tcPr>
            <w:tcW w:type="dxa" w:w="19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Ø6 ± 0,3 mm</w:t>
            </w:r>
          </w:p>
        </w:tc>
        <w:tc>
          <w:tcPr>
            <w:tcW w:type="dxa" w:w="22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Reiniging</w:t>
            </w:r>
          </w:p>
        </w:tc>
        <w:tc>
          <w:tcPr>
            <w:tcW w:type="dxa" w:w="30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bestand tegen isopropanol 70%</w:t>
            </w:r>
          </w:p>
        </w:tc>
      </w:tr>
      <w:tr>
        <w:trPr>
          <w:cantSplit/>
        </w:trPr>
        <w:tc>
          <w:tcPr>
            <w:tcW w:type="dxa" w:w="2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Totale dikte</w:t>
            </w:r>
          </w:p>
        </w:tc>
        <w:tc>
          <w:tcPr>
            <w:tcW w:type="dxa" w:w="19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max. 0,50 mm</w:t>
            </w:r>
          </w:p>
        </w:tc>
        <w:tc>
          <w:tcPr>
            <w:tcW w:type="dxa" w:w="22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
            </w:r>
          </w:p>
        </w:tc>
        <w:tc>
          <w:tcPr>
            <w:tcW w:type="dxa" w:w="30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
            </w:r>
          </w:p>
        </w:tc>
      </w:tr>
      <w:tr>
        <w:trPr>
          <w:cantSplit/>
        </w:trPr>
        <w:tc>
          <w:tcPr>
            <w:tcW w:type="dxa" w:w="25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Vlakheid</w:t>
            </w:r>
          </w:p>
        </w:tc>
        <w:tc>
          <w:tcPr>
            <w:tcW w:type="dxa" w:w="19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binnen 0,1 mm</w:t>
            </w:r>
          </w:p>
        </w:tc>
        <w:tc>
          <w:tcPr>
            <w:tcW w:type="dxa" w:w="2200"/>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
            </w:r>
          </w:p>
        </w:tc>
        <w:tc>
          <w:tcPr>
            <w:tcW w:type="dxa" w:w="3038"/>
            <w:tcMar>
              <w:top w:type="dxa" w:w="60"/>
              <w:left w:type="dxa" w:w="100"/>
              <w:bottom w:type="dxa" w:w="60"/>
              <w:right w:type="dxa" w:w="100"/>
            </w:tcMar>
          </w:tcPr>
          <w:p>
            <w:pPr>
              <w:spacing w:after="0"/>
            </w:pPr>
            <w:r>
              <w:rPr>
                <w:rFonts w:ascii="Calibri" w:cs="Calibri" w:eastAsia="Calibri" w:hAnsi="Calibri"/>
                <w:b w:val="false"/>
                <w:bCs w:val="false"/>
                <w:color w:val="1A1A1E"/>
                <w:sz w:val="19"/>
                <w:szCs w:val="19"/>
              </w:rPr>
              <w:t xml:space="preserve"/>
            </w:r>
          </w:p>
        </w:tc>
      </w:tr>
    </w:tbl>
    <w:p>
      <w:pPr>
        <w:pStyle w:val="Heading1"/>
        <w:spacing w:after="160" w:before="320"/>
      </w:pPr>
      <w:r>
        <w:rPr>
          <w:rFonts w:ascii="Calibri" w:cs="Calibri" w:eastAsia="Calibri" w:hAnsi="Calibri"/>
          <w:b/>
          <w:bCs/>
          <w:color w:val="1A1A1E"/>
          <w:sz w:val="26"/>
          <w:szCs w:val="26"/>
        </w:rPr>
        <w:t xml:space="preserve">5  De vier varianten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80"/>
              <w:left w:type="dxa" w:w="80"/>
              <w:bottom w:type="dxa" w:w="160"/>
              <w:right w:type="dxa" w:w="80"/>
            </w:tcMar>
          </w:tcPr>
          <w:p>
            <w:pPr>
              <w:spacing w:after="160" w:before="160"/>
              <w:jc w:val="center"/>
            </w:pPr>
            <w:r>
              <w:drawing>
                <wp:inline distT="0" distB="0" distL="0" distR="0">
                  <wp:extent cx="19526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52625" cy="2047875"/>
                          </a:xfrm>
                          <a:prstGeom prst="rect">
                            <a:avLst/>
                          </a:prstGeom>
                        </pic:spPr>
                      </pic:pic>
                    </a:graphicData>
                  </a:graphic>
                </wp:inline>
              </w:drawing>
            </w:r>
          </w:p>
          <w:p>
            <w:pPr>
              <w:spacing w:after="40"/>
              <w:jc w:val="center"/>
            </w:pPr>
            <w:r>
              <w:rPr>
                <w:rFonts w:ascii="Calibri" w:cs="Calibri" w:eastAsia="Calibri" w:hAnsi="Calibri"/>
                <w:b/>
                <w:bCs/>
                <w:color w:val="1A1A1E"/>
                <w:sz w:val="20"/>
                <w:szCs w:val="20"/>
              </w:rPr>
              <w:t xml:space="preserve">puck-01</w:t>
            </w:r>
          </w:p>
          <w:p>
            <w:pPr>
              <w:spacing w:after="0"/>
              <w:jc w:val="center"/>
            </w:pPr>
            <w:r>
              <w:rPr>
                <w:rFonts w:ascii="Calibri" w:cs="Calibri" w:eastAsia="Calibri" w:hAnsi="Calibri"/>
                <w:color w:val="5A5A60"/>
                <w:sz w:val="17"/>
                <w:szCs w:val="17"/>
              </w:rPr>
              <w:t xml:space="preserve">zijden 21,0 · 44,0 · 50,0 mm</w:t>
            </w:r>
          </w:p>
          <w:p>
            <w:pPr>
              <w:spacing w:after="0"/>
              <w:jc w:val="center"/>
            </w:pPr>
            <w:r>
              <w:rPr>
                <w:rFonts w:ascii="Calibri" w:cs="Calibri" w:eastAsia="Calibri" w:hAnsi="Calibri"/>
                <w:color w:val="5A5A60"/>
                <w:sz w:val="17"/>
                <w:szCs w:val="17"/>
              </w:rPr>
              <w:t xml:space="preserve">verhouding 0,42 / 0,88</w:t>
            </w:r>
          </w:p>
        </w:tc>
        <w:tc>
          <w:tcPr>
            <w:tcW w:type="dxa" w:w="4819"/>
            <w:tcMar>
              <w:top w:type="dxa" w:w="80"/>
              <w:left w:type="dxa" w:w="80"/>
              <w:bottom w:type="dxa" w:w="160"/>
              <w:right w:type="dxa" w:w="80"/>
            </w:tcMar>
          </w:tcPr>
          <w:p>
            <w:pPr>
              <w:spacing w:after="160" w:before="160"/>
              <w:jc w:val="center"/>
            </w:pPr>
            <w:r>
              <w:drawing>
                <wp:inline distT="0" distB="0" distL="0" distR="0">
                  <wp:extent cx="19526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52625" cy="2047875"/>
                          </a:xfrm>
                          <a:prstGeom prst="rect">
                            <a:avLst/>
                          </a:prstGeom>
                        </pic:spPr>
                      </pic:pic>
                    </a:graphicData>
                  </a:graphic>
                </wp:inline>
              </w:drawing>
            </w:r>
          </w:p>
          <w:p>
            <w:pPr>
              <w:spacing w:after="40"/>
              <w:jc w:val="center"/>
            </w:pPr>
            <w:r>
              <w:rPr>
                <w:rFonts w:ascii="Calibri" w:cs="Calibri" w:eastAsia="Calibri" w:hAnsi="Calibri"/>
                <w:b/>
                <w:bCs/>
                <w:color w:val="1A1A1E"/>
                <w:sz w:val="20"/>
                <w:szCs w:val="20"/>
              </w:rPr>
              <w:t xml:space="preserve">puck-02</w:t>
            </w:r>
          </w:p>
          <w:p>
            <w:pPr>
              <w:spacing w:after="0"/>
              <w:jc w:val="center"/>
            </w:pPr>
            <w:r>
              <w:rPr>
                <w:rFonts w:ascii="Calibri" w:cs="Calibri" w:eastAsia="Calibri" w:hAnsi="Calibri"/>
                <w:color w:val="5A5A60"/>
                <w:sz w:val="17"/>
                <w:szCs w:val="17"/>
              </w:rPr>
              <w:t xml:space="preserve">zijden 28,0 · 34,0 · 50,0 mm</w:t>
            </w:r>
          </w:p>
          <w:p>
            <w:pPr>
              <w:spacing w:after="0"/>
              <w:jc w:val="center"/>
            </w:pPr>
            <w:r>
              <w:rPr>
                <w:rFonts w:ascii="Calibri" w:cs="Calibri" w:eastAsia="Calibri" w:hAnsi="Calibri"/>
                <w:color w:val="5A5A60"/>
                <w:sz w:val="17"/>
                <w:szCs w:val="17"/>
              </w:rPr>
              <w:t xml:space="preserve">verhouding 0,56 / 0,68</w:t>
            </w:r>
          </w:p>
        </w:tc>
      </w:tr>
      <w:tr>
        <w:trPr>
          <w:cantSplit/>
        </w:trPr>
        <w:tc>
          <w:tcPr>
            <w:tcW w:type="dxa" w:w="4819"/>
            <w:tcMar>
              <w:top w:type="dxa" w:w="80"/>
              <w:left w:type="dxa" w:w="80"/>
              <w:bottom w:type="dxa" w:w="160"/>
              <w:right w:type="dxa" w:w="80"/>
            </w:tcMar>
          </w:tcPr>
          <w:p>
            <w:pPr>
              <w:spacing w:after="160" w:before="160"/>
              <w:jc w:val="center"/>
            </w:pPr>
            <w:r>
              <w:drawing>
                <wp:inline distT="0" distB="0" distL="0" distR="0">
                  <wp:extent cx="19526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52625" cy="2047875"/>
                          </a:xfrm>
                          <a:prstGeom prst="rect">
                            <a:avLst/>
                          </a:prstGeom>
                        </pic:spPr>
                      </pic:pic>
                    </a:graphicData>
                  </a:graphic>
                </wp:inline>
              </w:drawing>
            </w:r>
          </w:p>
          <w:p>
            <w:pPr>
              <w:spacing w:after="40"/>
              <w:jc w:val="center"/>
            </w:pPr>
            <w:r>
              <w:rPr>
                <w:rFonts w:ascii="Calibri" w:cs="Calibri" w:eastAsia="Calibri" w:hAnsi="Calibri"/>
                <w:b/>
                <w:bCs/>
                <w:color w:val="1A1A1E"/>
                <w:sz w:val="20"/>
                <w:szCs w:val="20"/>
              </w:rPr>
              <w:t xml:space="preserve">puck-03</w:t>
            </w:r>
          </w:p>
          <w:p>
            <w:pPr>
              <w:spacing w:after="0"/>
              <w:jc w:val="center"/>
            </w:pPr>
            <w:r>
              <w:rPr>
                <w:rFonts w:ascii="Calibri" w:cs="Calibri" w:eastAsia="Calibri" w:hAnsi="Calibri"/>
                <w:color w:val="5A5A60"/>
                <w:sz w:val="17"/>
                <w:szCs w:val="17"/>
              </w:rPr>
              <w:t xml:space="preserve">zijden 29,5 · 42,5 · 50,0 mm</w:t>
            </w:r>
          </w:p>
          <w:p>
            <w:pPr>
              <w:spacing w:after="0"/>
              <w:jc w:val="center"/>
            </w:pPr>
            <w:r>
              <w:rPr>
                <w:rFonts w:ascii="Calibri" w:cs="Calibri" w:eastAsia="Calibri" w:hAnsi="Calibri"/>
                <w:color w:val="5A5A60"/>
                <w:sz w:val="17"/>
                <w:szCs w:val="17"/>
              </w:rPr>
              <w:t xml:space="preserve">verhouding 0,59 / 0,85</w:t>
            </w:r>
          </w:p>
        </w:tc>
        <w:tc>
          <w:tcPr>
            <w:tcW w:type="dxa" w:w="4819"/>
            <w:tcMar>
              <w:top w:type="dxa" w:w="80"/>
              <w:left w:type="dxa" w:w="80"/>
              <w:bottom w:type="dxa" w:w="160"/>
              <w:right w:type="dxa" w:w="80"/>
            </w:tcMar>
          </w:tcPr>
          <w:p>
            <w:pPr>
              <w:spacing w:after="160" w:before="160"/>
              <w:jc w:val="center"/>
            </w:pPr>
            <w:r>
              <w:drawing>
                <wp:inline distT="0" distB="0" distL="0" distR="0">
                  <wp:extent cx="19526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52625" cy="2047875"/>
                          </a:xfrm>
                          <a:prstGeom prst="rect">
                            <a:avLst/>
                          </a:prstGeom>
                        </pic:spPr>
                      </pic:pic>
                    </a:graphicData>
                  </a:graphic>
                </wp:inline>
              </w:drawing>
            </w:r>
          </w:p>
          <w:p>
            <w:pPr>
              <w:spacing w:after="40"/>
              <w:jc w:val="center"/>
            </w:pPr>
            <w:r>
              <w:rPr>
                <w:rFonts w:ascii="Calibri" w:cs="Calibri" w:eastAsia="Calibri" w:hAnsi="Calibri"/>
                <w:b/>
                <w:bCs/>
                <w:color w:val="1A1A1E"/>
                <w:sz w:val="20"/>
                <w:szCs w:val="20"/>
              </w:rPr>
              <w:t xml:space="preserve">puck-04</w:t>
            </w:r>
          </w:p>
          <w:p>
            <w:pPr>
              <w:spacing w:after="0"/>
              <w:jc w:val="center"/>
            </w:pPr>
            <w:r>
              <w:rPr>
                <w:rFonts w:ascii="Calibri" w:cs="Calibri" w:eastAsia="Calibri" w:hAnsi="Calibri"/>
                <w:color w:val="5A5A60"/>
                <w:sz w:val="17"/>
                <w:szCs w:val="17"/>
              </w:rPr>
              <w:t xml:space="preserve">zijden 38,0 · 44,0 · 50,0 mm</w:t>
            </w:r>
          </w:p>
          <w:p>
            <w:pPr>
              <w:spacing w:after="0"/>
              <w:jc w:val="center"/>
            </w:pPr>
            <w:r>
              <w:rPr>
                <w:rFonts w:ascii="Calibri" w:cs="Calibri" w:eastAsia="Calibri" w:hAnsi="Calibri"/>
                <w:color w:val="5A5A60"/>
                <w:sz w:val="17"/>
                <w:szCs w:val="17"/>
              </w:rPr>
              <w:t xml:space="preserve">verhouding 0,76 / 0,88</w:t>
            </w:r>
          </w:p>
        </w:tc>
      </w:tr>
    </w:tbl>
    <w:p>
      <w:pPr>
        <w:pStyle w:val="Heading1"/>
        <w:spacing w:after="160" w:before="320"/>
      </w:pPr>
      <w:r>
        <w:rPr>
          <w:rFonts w:ascii="Calibri" w:cs="Calibri" w:eastAsia="Calibri" w:hAnsi="Calibri"/>
          <w:b/>
          <w:bCs/>
          <w:color w:val="1A1A1E"/>
          <w:sz w:val="26"/>
          <w:szCs w:val="26"/>
        </w:rPr>
        <w:t xml:space="preserve">6  De verbinding tussen de pads</w:t>
      </w:r>
    </w:p>
    <w:p>
      <w:pPr>
        <w:spacing w:after="120" w:line="276"/>
      </w:pPr>
      <w:r>
        <w:rPr>
          <w:rFonts w:ascii="Calibri" w:cs="Calibri" w:eastAsia="Calibri" w:hAnsi="Calibri"/>
          <w:b w:val="false"/>
          <w:bCs w:val="false"/>
          <w:i w:val="false"/>
          <w:iCs w:val="false"/>
          <w:color w:val="1A1A1E"/>
          <w:sz w:val="20"/>
          <w:szCs w:val="20"/>
        </w:rPr>
        <w:t xml:space="preserve">De drie pads zijn met elkaar verbonden door twee koperbanen van 1,2 mm breed, over de twee kortste zijden van de driehoek, met pad C als knooppunt. Die banen liggen niet in dezelfde laag als de pads maar erboven, gescheiden door de isolatielaag. Alleen ter plaatse van de vias Ø6 zakken ze omlaag en maken ze contact met het koper van de pads.</w:t>
      </w:r>
    </w:p>
    <w:p>
      <w:pPr>
        <w:spacing w:after="120" w:line="276"/>
      </w:pPr>
      <w:r>
        <w:rPr>
          <w:rFonts w:ascii="Calibri" w:cs="Calibri" w:eastAsia="Calibri" w:hAnsi="Calibri"/>
          <w:b w:val="false"/>
          <w:bCs w:val="false"/>
          <w:i w:val="false"/>
          <w:iCs w:val="false"/>
          <w:color w:val="1A1A1E"/>
          <w:sz w:val="20"/>
          <w:szCs w:val="20"/>
        </w:rPr>
        <w:t xml:space="preserve">De reden: voor een capacitieve tafel telt alles mee wat geleidend is en dicht bij het glas ligt. Door de banen achter de isolatielaag te leggen én smal te houden, blijven de drie pads de enige plekken met een sterk signaal. Van die twee maatregelen doet de baanbreedte het meeste werk, omdat de 3 tot 4 mm tafelglas de meting toch al domineert; de isolatielaag geeft daarbovenop marge en beschermt het koper als de toplaag ooit doorslijt.</w:t>
      </w:r>
    </w:p>
    <w:p>
      <w:pPr>
        <w:spacing w:after="120" w:line="276"/>
      </w:pPr>
      <w:r>
        <w:rPr>
          <w:rFonts w:ascii="Calibri" w:cs="Calibri" w:eastAsia="Calibri" w:hAnsi="Calibri"/>
          <w:b w:val="false"/>
          <w:bCs w:val="false"/>
          <w:i w:val="false"/>
          <w:iCs w:val="false"/>
          <w:color w:val="1A1A1E"/>
          <w:sz w:val="20"/>
          <w:szCs w:val="20"/>
        </w:rPr>
        <w:t xml:space="preserve">Als de tafel de banen in de praktijk toch oppikt, is de knop: de isolatielaag dikker maken, of de baanbreedte terug naar 1,0 mm. Dat is te beoordelen met de monsterset.</w:t>
      </w:r>
    </w:p>
    <w:p>
      <w:pPr>
        <w:pStyle w:val="Heading1"/>
        <w:spacing w:after="160" w:before="320"/>
      </w:pPr>
      <w:r>
        <w:rPr>
          <w:rFonts w:ascii="Calibri" w:cs="Calibri" w:eastAsia="Calibri" w:hAnsi="Calibri"/>
          <w:b/>
          <w:bCs/>
          <w:color w:val="1A1A1E"/>
          <w:sz w:val="26"/>
          <w:szCs w:val="26"/>
        </w:rPr>
        <w:t xml:space="preserve">7  Vragen bij de offerte</w:t>
      </w:r>
    </w:p>
    <w:p>
      <w:pPr>
        <w:pStyle w:val="ListParagraph"/>
        <w:numPr>
          <w:ilvl w:val="0"/>
          <w:numId w:val="2"/>
        </w:numPr>
        <w:spacing w:after="100" w:line="276"/>
      </w:pPr>
      <w:r>
        <w:rPr>
          <w:rFonts w:ascii="Calibri" w:cs="Calibri" w:eastAsia="Calibri" w:hAnsi="Calibri"/>
          <w:color w:val="1A1A1E"/>
          <w:sz w:val="20"/>
          <w:szCs w:val="20"/>
        </w:rPr>
        <w:t xml:space="preserve">Prijs per variant bij 25, 50 en 100 stuks, plus eenmalige opstartkosten per variant.</w:t>
      </w:r>
    </w:p>
    <w:p>
      <w:pPr>
        <w:pStyle w:val="ListParagraph"/>
        <w:numPr>
          <w:ilvl w:val="0"/>
          <w:numId w:val="2"/>
        </w:numPr>
        <w:spacing w:after="100" w:line="276"/>
      </w:pPr>
      <w:r>
        <w:rPr>
          <w:rFonts w:ascii="Calibri" w:cs="Calibri" w:eastAsia="Calibri" w:hAnsi="Calibri"/>
          <w:color w:val="1A1A1E"/>
          <w:sz w:val="20"/>
          <w:szCs w:val="20"/>
        </w:rPr>
        <w:t xml:space="preserve">Welk proces adviseren jullie bij deze aantallen: digitaal gesneden koperfolie of gezeefdrukt zilver?</w:t>
      </w:r>
    </w:p>
    <w:p>
      <w:pPr>
        <w:pStyle w:val="ListParagraph"/>
        <w:numPr>
          <w:ilvl w:val="0"/>
          <w:numId w:val="2"/>
        </w:numPr>
        <w:spacing w:after="100" w:line="276"/>
      </w:pPr>
      <w:r>
        <w:rPr>
          <w:rFonts w:ascii="Calibri" w:cs="Calibri" w:eastAsia="Calibri" w:hAnsi="Calibri"/>
          <w:color w:val="1A1A1E"/>
          <w:sz w:val="20"/>
          <w:szCs w:val="20"/>
        </w:rPr>
        <w:t xml:space="preserve">Advies over de glijlaag: hardcoated PET of PTFE-folie? Wij zoeken de laagste wrijving op glas die nog krasvast is en geen sporen achterlaat.</w:t>
      </w:r>
    </w:p>
    <w:p>
      <w:pPr>
        <w:pStyle w:val="ListParagraph"/>
        <w:numPr>
          <w:ilvl w:val="0"/>
          <w:numId w:val="2"/>
        </w:numPr>
        <w:spacing w:after="100" w:line="276"/>
      </w:pPr>
      <w:r>
        <w:rPr>
          <w:rFonts w:ascii="Calibri" w:cs="Calibri" w:eastAsia="Calibri" w:hAnsi="Calibri"/>
          <w:color w:val="1A1A1E"/>
          <w:sz w:val="20"/>
          <w:szCs w:val="20"/>
        </w:rPr>
        <w:t xml:space="preserve">Prijs voor twee uitvoeringen ter vergelijking: pads onder de toplaag, en pads blank aan de glaszijde.</w:t>
      </w:r>
    </w:p>
    <w:p>
      <w:pPr>
        <w:pStyle w:val="ListParagraph"/>
        <w:numPr>
          <w:ilvl w:val="0"/>
          <w:numId w:val="2"/>
        </w:numPr>
        <w:spacing w:after="100" w:line="276"/>
      </w:pPr>
      <w:r>
        <w:rPr>
          <w:rFonts w:ascii="Calibri" w:cs="Calibri" w:eastAsia="Calibri" w:hAnsi="Calibri"/>
          <w:color w:val="1A1A1E"/>
          <w:sz w:val="20"/>
          <w:szCs w:val="20"/>
        </w:rPr>
        <w:t xml:space="preserve">Levertijd, minimale afname, en of een monsterset van 2 stuks per variant vooraf mogelijk is.</w:t>
      </w:r>
    </w:p>
    <w:p>
      <w:pPr>
        <w:pStyle w:val="ListParagraph"/>
        <w:numPr>
          <w:ilvl w:val="0"/>
          <w:numId w:val="2"/>
        </w:numPr>
        <w:spacing w:after="100" w:line="276"/>
      </w:pPr>
      <w:r>
        <w:rPr>
          <w:rFonts w:ascii="Calibri" w:cs="Calibri" w:eastAsia="Calibri" w:hAnsi="Calibri"/>
          <w:color w:val="1A1A1E"/>
          <w:sz w:val="20"/>
          <w:szCs w:val="20"/>
        </w:rPr>
        <w:t xml:space="preserve">De opbouw heeft twee geleidende niveaus met een isolatielaag ertussen. Hoe zouden jullie dat uitvoeren, met een gedrukt dielektricum of met een gestanste PET-tussenfolie, en wat betekent dat voor prijs en levertijd ten opzichte van één geleidende laag?</w:t>
      </w:r>
    </w:p>
    <w:p>
      <w:pPr>
        <w:pStyle w:val="Heading1"/>
        <w:spacing w:after="160" w:before="320"/>
      </w:pPr>
      <w:r>
        <w:rPr>
          <w:rFonts w:ascii="Calibri" w:cs="Calibri" w:eastAsia="Calibri" w:hAnsi="Calibri"/>
          <w:b/>
          <w:bCs/>
          <w:color w:val="1A1A1E"/>
          <w:sz w:val="26"/>
          <w:szCs w:val="26"/>
        </w:rPr>
        <w:t xml:space="preserve">8  Aandachtspunten</w:t>
      </w:r>
    </w:p>
    <w:p>
      <w:pPr>
        <w:pStyle w:val="ListParagraph"/>
        <w:numPr>
          <w:ilvl w:val="0"/>
          <w:numId w:val="3"/>
        </w:numPr>
        <w:spacing w:after="100" w:line="276"/>
      </w:pPr>
      <w:r>
        <w:rPr>
          <w:rFonts w:ascii="Calibri" w:cs="Calibri" w:eastAsia="Calibri" w:hAnsi="Calibri"/>
          <w:color w:val="1A1A1E"/>
          <w:sz w:val="20"/>
          <w:szCs w:val="20"/>
        </w:rPr>
        <w:t xml:space="preserve">De sticker komt op de onderzijde van de puck, hart op hart, met de inkeping naar de voorkant.</w:t>
      </w:r>
    </w:p>
    <w:p>
      <w:pPr>
        <w:pStyle w:val="ListParagraph"/>
        <w:numPr>
          <w:ilvl w:val="0"/>
          <w:numId w:val="3"/>
        </w:numPr>
        <w:spacing w:after="100" w:line="276"/>
      </w:pPr>
      <w:r>
        <w:rPr>
          <w:rFonts w:ascii="Calibri" w:cs="Calibri" w:eastAsia="Calibri" w:hAnsi="Calibri"/>
          <w:color w:val="1A1A1E"/>
          <w:sz w:val="20"/>
          <w:szCs w:val="20"/>
        </w:rPr>
        <w:t xml:space="preserve">Spiegelen is niet kritisch: de herkenning kijkt alleen naar de verhouding tussen de drie zijden.</w:t>
      </w:r>
    </w:p>
    <w:p>
      <w:pPr>
        <w:pStyle w:val="ListParagraph"/>
        <w:numPr>
          <w:ilvl w:val="0"/>
          <w:numId w:val="3"/>
        </w:numPr>
        <w:spacing w:after="100" w:line="276"/>
      </w:pPr>
      <w:r>
        <w:rPr>
          <w:rFonts w:ascii="Calibri" w:cs="Calibri" w:eastAsia="Calibri" w:hAnsi="Calibri"/>
          <w:color w:val="1A1A1E"/>
          <w:sz w:val="20"/>
          <w:szCs w:val="20"/>
        </w:rPr>
        <w:t xml:space="preserve">De vier varianten lijken sterk op elkaar; graag per variant apart verpakt en gemerkt.</w:t>
      </w:r>
    </w:p>
    <w:p>
      <w:pPr>
        <w:pStyle w:val="ListParagraph"/>
        <w:numPr>
          <w:ilvl w:val="0"/>
          <w:numId w:val="3"/>
        </w:numPr>
        <w:spacing w:after="100" w:line="276"/>
      </w:pPr>
      <w:r>
        <w:rPr>
          <w:rFonts w:ascii="Calibri" w:cs="Calibri" w:eastAsia="Calibri" w:hAnsi="Calibri"/>
          <w:color w:val="1A1A1E"/>
          <w:sz w:val="20"/>
          <w:szCs w:val="20"/>
        </w:rPr>
        <w:t xml:space="preserve">Pad C is bij alle vier de varianten het knooppunt van de banen én de plek van het puckcontact.</w:t>
      </w:r>
    </w:p>
    <w:p>
      <w:pPr>
        <w:pStyle w:val="ListParagraph"/>
        <w:numPr>
          <w:ilvl w:val="0"/>
          <w:numId w:val="3"/>
        </w:numPr>
        <w:spacing w:after="100" w:line="276"/>
      </w:pPr>
      <w:r>
        <w:rPr>
          <w:rFonts w:ascii="Calibri" w:cs="Calibri" w:eastAsia="Calibri" w:hAnsi="Calibri"/>
          <w:color w:val="1A1A1E"/>
          <w:sz w:val="20"/>
          <w:szCs w:val="20"/>
        </w:rPr>
        <w:t xml:space="preserve">Bij deze specificatie horen DXF-bestanden per variant, met aparte lagen voor omtrek, pads, banen, vias, venster en inkeping, op ware grootte in millimeters.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bullet"/>
      <w:lvlText w:val="–"/>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0fca43fe8facd452e7ce84faa19e9f17f6d706.png"/><Relationship Id="rId8" Type="http://schemas.openxmlformats.org/officeDocument/2006/relationships/image" Target="media/44c33000dbc24e884581eceb3616fe008c1bec40.png"/><Relationship Id="rId9" Type="http://schemas.openxmlformats.org/officeDocument/2006/relationships/image" Target="media/a66c4da5319148024fb024df52393c90e75824f7.png"/><Relationship Id="rId10" Type="http://schemas.openxmlformats.org/officeDocument/2006/relationships/image" Target="media/9111cc040df8b2d58a4de845ee0ec7704ee43c11.png"/><Relationship Id="rId11" Type="http://schemas.openxmlformats.org/officeDocument/2006/relationships/image" Target="media/d30811e360333a1c7db026a00b58f9ddfb0836bf.png"/><Relationship Id="rId12" Type="http://schemas.openxmlformats.org/officeDocument/2006/relationships/image" Target="media/934d77d8434a7fcc6184acfca6515d69bf1cd60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Geleidende contactsticker voor pucks - productiespecificatie</dc:title>
  <dc:creator>Joep Groenteman</dc:creator>
  <cp:lastModifiedBy>Un-named</cp:lastModifiedBy>
  <cp:revision>1</cp:revision>
  <dcterms:created xsi:type="dcterms:W3CDTF">2026-09-07T09:20:17.592Z</dcterms:created>
  <dcterms:modified xsi:type="dcterms:W3CDTF">2026-09-07T09:20:17.592Z</dcterms:modified>
</cp:coreProperties>
</file>

<file path=docProps/custom.xml><?xml version="1.0" encoding="utf-8"?>
<Properties xmlns="http://schemas.openxmlformats.org/officeDocument/2006/custom-properties" xmlns:vt="http://schemas.openxmlformats.org/officeDocument/2006/docPropsVTypes"/>
</file>