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API Specification v1.0</w:t>
      </w:r>
    </w:p>
    <w:p>
      <w:r>
        <w:t>Status: Draft</w:t>
        <w:br/>
        <w:t>Version: 1.0</w:t>
      </w:r>
    </w:p>
    <w:p>
      <w:pPr>
        <w:pStyle w:val="Heading2"/>
      </w:pPr>
      <w:r>
        <w:t>Purpose</w:t>
      </w:r>
    </w:p>
    <w:p>
      <w:r>
        <w:t>Defines interfaces between providers, services, widgets and scanners.</w:t>
      </w:r>
    </w:p>
    <w:p>
      <w:pPr>
        <w:pStyle w:val="Heading2"/>
      </w:pPr>
      <w:r>
        <w:t>Core APIs</w:t>
      </w:r>
    </w:p>
    <w:p>
      <w:r>
        <w:t>Provider API</w:t>
      </w:r>
    </w:p>
    <w:p>
      <w:r>
        <w:t>Asset API</w:t>
      </w:r>
    </w:p>
    <w:p>
      <w:r>
        <w:t>Scanner API</w:t>
      </w:r>
    </w:p>
    <w:p>
      <w:r>
        <w:t>Strategy API</w:t>
      </w:r>
    </w:p>
    <w:p>
      <w:r>
        <w:t>Widget API</w:t>
      </w:r>
    </w:p>
    <w:p>
      <w:r>
        <w:t>Portfolio API</w:t>
      </w:r>
    </w:p>
    <w:p>
      <w:pPr>
        <w:pStyle w:val="Heading2"/>
      </w:pPr>
      <w:r>
        <w:t>Standards</w:t>
      </w:r>
    </w:p>
    <w:p>
      <w:r>
        <w:t>REST-like internal services, typed interfaces,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