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TPP ADR v1.0</w:t>
      </w:r>
    </w:p>
    <w:p>
      <w:pPr>
        <w:pStyle w:val="Heading2"/>
      </w:pPr>
      <w:r>
        <w:t>ADR-0001</w:t>
      </w:r>
    </w:p>
    <w:p>
      <w:r>
        <w:t>Business Driven Development</w:t>
      </w:r>
    </w:p>
    <w:p>
      <w:pPr>
        <w:pStyle w:val="Heading2"/>
      </w:pPr>
      <w:r>
        <w:t>ADR-0002</w:t>
      </w:r>
    </w:p>
    <w:p>
      <w:r>
        <w:t>Executive Summary First</w:t>
      </w:r>
    </w:p>
    <w:p>
      <w:pPr>
        <w:pStyle w:val="Heading2"/>
      </w:pPr>
      <w:r>
        <w:t>ADR-0003</w:t>
      </w:r>
    </w:p>
    <w:p>
      <w:r>
        <w:t>Single Source of Truth</w:t>
      </w:r>
    </w:p>
    <w:p>
      <w:pPr>
        <w:pStyle w:val="Heading2"/>
      </w:pPr>
      <w:r>
        <w:t>ADR-0004</w:t>
      </w:r>
    </w:p>
    <w:p>
      <w:r>
        <w:t>Decision Center als Herzstück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