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ision-log"/>
    <w:p>
      <w:pPr>
        <w:pStyle w:val="Heading1"/>
      </w:pPr>
      <w:r>
        <w:t xml:space="preserve">Decision Log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provides the central index of significant product, architecture, technology and development-process decisions for Trading Platform Pro and its primary application, the Trading Cockpit.</w:t>
      </w:r>
    </w:p>
    <w:p>
      <w:pPr>
        <w:pStyle w:val="BodyText"/>
      </w:pPr>
      <w:r>
        <w:t xml:space="preserve">The Decision Log exists to make important project decisions:</w:t>
      </w:r>
    </w:p>
    <w:p>
      <w:pPr>
        <w:pStyle w:val="Compact"/>
        <w:numPr>
          <w:ilvl w:val="0"/>
          <w:numId w:val="1001"/>
        </w:numPr>
      </w:pPr>
      <w:r>
        <w:t xml:space="preserve">discoverable</w:t>
      </w:r>
    </w:p>
    <w:p>
      <w:pPr>
        <w:pStyle w:val="Compact"/>
        <w:numPr>
          <w:ilvl w:val="0"/>
          <w:numId w:val="1001"/>
        </w:numPr>
      </w:pPr>
      <w:r>
        <w:t xml:space="preserve">traceable</w:t>
      </w:r>
    </w:p>
    <w:p>
      <w:pPr>
        <w:pStyle w:val="Compact"/>
        <w:numPr>
          <w:ilvl w:val="0"/>
          <w:numId w:val="1001"/>
        </w:numPr>
      </w:pPr>
      <w:r>
        <w:t xml:space="preserve">reviewable</w:t>
      </w:r>
    </w:p>
    <w:p>
      <w:pPr>
        <w:pStyle w:val="Compact"/>
        <w:numPr>
          <w:ilvl w:val="0"/>
          <w:numId w:val="1001"/>
        </w:numPr>
      </w:pPr>
      <w:r>
        <w:t xml:space="preserve">version controlled</w:t>
      </w:r>
    </w:p>
    <w:p>
      <w:pPr>
        <w:pStyle w:val="FirstParagraph"/>
      </w:pPr>
      <w:r>
        <w:t xml:space="preserve">It does not replace Architecture Decision Records.</w:t>
      </w:r>
    </w:p>
    <w:p>
      <w:pPr>
        <w:pStyle w:val="BodyText"/>
      </w:pPr>
      <w:r>
        <w:t xml:space="preserve">Architecture-significant decisions shall be documented 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cision-model"/>
    <w:p>
      <w:pPr>
        <w:pStyle w:val="Heading1"/>
      </w:pPr>
      <w:r>
        <w:t xml:space="preserve">Decision Model</w:t>
      </w:r>
    </w:p>
    <w:p>
      <w:pPr>
        <w:pStyle w:val="FirstParagraph"/>
      </w:pPr>
      <w:r>
        <w:t xml:space="preserve">The project distinguishes between:</w:t>
      </w:r>
    </w:p>
    <w:p>
      <w:pPr>
        <w:pStyle w:val="SourceCode"/>
      </w:pPr>
      <w:r>
        <w:rPr>
          <w:rStyle w:val="VerbatimChar"/>
        </w:rPr>
        <w:t xml:space="preserve">Architecture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 Decision 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docs/adr/</w:t>
      </w:r>
      <w:r>
        <w:br/>
      </w:r>
      <w:r>
        <w:br/>
      </w:r>
      <w:r>
        <w:rPr>
          <w:rStyle w:val="VerbatimChar"/>
        </w:rPr>
        <w:t xml:space="preserve">Product, Technology or Process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Decision Log Entry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docs/decisions/Decision_Log.md</w:t>
      </w:r>
    </w:p>
    <w:p>
      <w:pPr>
        <w:pStyle w:val="FirstParagraph"/>
      </w:pPr>
      <w:r>
        <w:t xml:space="preserve">The Decision Log may reference ADRs.</w:t>
      </w:r>
    </w:p>
    <w:p>
      <w:pPr>
        <w:pStyle w:val="BodyText"/>
      </w:pPr>
      <w:r>
        <w:t xml:space="preserve">Do not maintain the same decision independently in both systems.</w:t>
      </w:r>
    </w:p>
    <w:p>
      <w:r>
        <w:pict>
          <v:rect style="width:0;height:1.5pt" o:hralign="center" o:hrstd="t" o:hr="t"/>
        </w:pict>
      </w:r>
    </w:p>
    <w:bookmarkEnd w:id="11"/>
    <w:bookmarkStart w:id="12" w:name="architecture-decisions"/>
    <w:p>
      <w:pPr>
        <w:pStyle w:val="Heading1"/>
      </w:pPr>
      <w:r>
        <w:t xml:space="preserve">Architecture Decisions</w:t>
      </w:r>
    </w:p>
    <w:p>
      <w:pPr>
        <w:pStyle w:val="FirstParagraph"/>
      </w:pPr>
      <w:r>
        <w:t xml:space="preserve">Use an Architecture Decision Record when a decision has significant and durable architecture impact.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dependency direction</w:t>
      </w:r>
    </w:p>
    <w:p>
      <w:pPr>
        <w:pStyle w:val="Compact"/>
        <w:numPr>
          <w:ilvl w:val="0"/>
          <w:numId w:val="1002"/>
        </w:numPr>
      </w:pPr>
      <w:r>
        <w:t xml:space="preserve">major capability boundaries</w:t>
      </w:r>
    </w:p>
    <w:p>
      <w:pPr>
        <w:pStyle w:val="Compact"/>
        <w:numPr>
          <w:ilvl w:val="0"/>
          <w:numId w:val="1002"/>
        </w:numPr>
      </w:pPr>
      <w:r>
        <w:t xml:space="preserve">Domain ownership</w:t>
      </w:r>
    </w:p>
    <w:p>
      <w:pPr>
        <w:pStyle w:val="Compact"/>
        <w:numPr>
          <w:ilvl w:val="0"/>
          <w:numId w:val="1002"/>
        </w:numPr>
      </w:pPr>
      <w:r>
        <w:t xml:space="preserve">Application workflow ownership</w:t>
      </w:r>
    </w:p>
    <w:p>
      <w:pPr>
        <w:pStyle w:val="Compact"/>
        <w:numPr>
          <w:ilvl w:val="0"/>
          <w:numId w:val="1002"/>
        </w:numPr>
      </w:pPr>
      <w:r>
        <w:t xml:space="preserve">persistence architecture</w:t>
      </w:r>
    </w:p>
    <w:p>
      <w:pPr>
        <w:pStyle w:val="Compact"/>
        <w:numPr>
          <w:ilvl w:val="0"/>
          <w:numId w:val="1002"/>
        </w:numPr>
      </w:pPr>
      <w:r>
        <w:t xml:space="preserve">broker integration architecture</w:t>
      </w:r>
    </w:p>
    <w:p>
      <w:pPr>
        <w:pStyle w:val="Compact"/>
        <w:numPr>
          <w:ilvl w:val="0"/>
          <w:numId w:val="1002"/>
        </w:numPr>
      </w:pPr>
      <w:r>
        <w:t xml:space="preserve">market data architecture</w:t>
      </w:r>
    </w:p>
    <w:p>
      <w:pPr>
        <w:pStyle w:val="Compact"/>
        <w:numPr>
          <w:ilvl w:val="0"/>
          <w:numId w:val="1002"/>
        </w:numPr>
      </w:pPr>
      <w:r>
        <w:t xml:space="preserve">runtime lifecycle architecture</w:t>
      </w:r>
    </w:p>
    <w:p>
      <w:pPr>
        <w:pStyle w:val="Compact"/>
        <w:numPr>
          <w:ilvl w:val="0"/>
          <w:numId w:val="1002"/>
        </w:numPr>
      </w:pPr>
      <w:r>
        <w:t xml:space="preserve">AsyncIO integration strategy</w:t>
      </w:r>
    </w:p>
    <w:p>
      <w:pPr>
        <w:pStyle w:val="Compact"/>
        <w:numPr>
          <w:ilvl w:val="0"/>
          <w:numId w:val="1002"/>
        </w:numPr>
      </w:pPr>
      <w:r>
        <w:t xml:space="preserve">dependency injection strategy</w:t>
      </w:r>
    </w:p>
    <w:p>
      <w:pPr>
        <w:pStyle w:val="Compact"/>
        <w:numPr>
          <w:ilvl w:val="0"/>
          <w:numId w:val="1002"/>
        </w:numPr>
      </w:pPr>
      <w:r>
        <w:t xml:space="preserve">major cross-capability infrastructure</w:t>
      </w:r>
    </w:p>
    <w:p>
      <w:pPr>
        <w:pStyle w:val="FirstParagraph"/>
      </w:pPr>
      <w:r>
        <w:t xml:space="preserve">ADR rules are defined in:</w:t>
      </w:r>
    </w:p>
    <w:p>
      <w:pPr>
        <w:pStyle w:val="SourceCode"/>
      </w:pPr>
      <w:r>
        <w:rPr>
          <w:rStyle w:val="VerbatimChar"/>
        </w:rPr>
        <w:t xml:space="preserve">docs/adr/README.md</w:t>
      </w:r>
    </w:p>
    <w:p>
      <w:pPr>
        <w:pStyle w:val="FirstParagraph"/>
      </w:pPr>
      <w:r>
        <w:t xml:space="preserve">Architecture decisions may appear in the Decision Index as references to the owning ADR.</w:t>
      </w:r>
    </w:p>
    <w:p>
      <w:pPr>
        <w:pStyle w:val="BodyText"/>
      </w:pPr>
      <w:r>
        <w:t xml:space="preserve">The ADR remains the authoritative decision record.</w:t>
      </w:r>
    </w:p>
    <w:p>
      <w:r>
        <w:pict>
          <v:rect style="width:0;height:1.5pt" o:hralign="center" o:hrstd="t" o:hr="t"/>
        </w:pict>
      </w:r>
    </w:p>
    <w:bookmarkEnd w:id="12"/>
    <w:bookmarkStart w:id="13" w:name="decision-log-decisions"/>
    <w:p>
      <w:pPr>
        <w:pStyle w:val="Heading1"/>
      </w:pPr>
      <w:r>
        <w:t xml:space="preserve">Decision Log Decisions</w:t>
      </w:r>
    </w:p>
    <w:p>
      <w:pPr>
        <w:pStyle w:val="FirstParagraph"/>
      </w:pPr>
      <w:r>
        <w:t xml:space="preserve">Use the Decision Log for significant decisions that require durable project context but do not require a dedicated ADR.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primary product direction</w:t>
      </w:r>
    </w:p>
    <w:p>
      <w:pPr>
        <w:pStyle w:val="Compact"/>
        <w:numPr>
          <w:ilvl w:val="0"/>
          <w:numId w:val="1003"/>
        </w:numPr>
      </w:pPr>
      <w:r>
        <w:t xml:space="preserve">supported Python version</w:t>
      </w:r>
    </w:p>
    <w:p>
      <w:pPr>
        <w:pStyle w:val="Compact"/>
        <w:numPr>
          <w:ilvl w:val="0"/>
          <w:numId w:val="1003"/>
        </w:numPr>
      </w:pPr>
      <w:r>
        <w:t xml:space="preserve">source quality tooling</w:t>
      </w:r>
    </w:p>
    <w:p>
      <w:pPr>
        <w:pStyle w:val="Compact"/>
        <w:numPr>
          <w:ilvl w:val="0"/>
          <w:numId w:val="1003"/>
        </w:numPr>
      </w:pPr>
      <w:r>
        <w:t xml:space="preserve">CI technology</w:t>
      </w:r>
    </w:p>
    <w:p>
      <w:pPr>
        <w:pStyle w:val="Compact"/>
        <w:numPr>
          <w:ilvl w:val="0"/>
          <w:numId w:val="1003"/>
        </w:numPr>
      </w:pPr>
      <w:r>
        <w:t xml:space="preserve">documentation source policy</w:t>
      </w:r>
    </w:p>
    <w:p>
      <w:pPr>
        <w:pStyle w:val="Compact"/>
        <w:numPr>
          <w:ilvl w:val="0"/>
          <w:numId w:val="1003"/>
        </w:numPr>
      </w:pPr>
      <w:r>
        <w:t xml:space="preserve">development workflow policy</w:t>
      </w:r>
    </w:p>
    <w:p>
      <w:pPr>
        <w:pStyle w:val="Compact"/>
        <w:numPr>
          <w:ilvl w:val="0"/>
          <w:numId w:val="1003"/>
        </w:numPr>
      </w:pPr>
      <w:r>
        <w:t xml:space="preserve">release process decisions</w:t>
      </w:r>
    </w:p>
    <w:p>
      <w:pPr>
        <w:pStyle w:val="Compact"/>
        <w:numPr>
          <w:ilvl w:val="0"/>
          <w:numId w:val="1003"/>
        </w:numPr>
      </w:pPr>
      <w:r>
        <w:t xml:space="preserve">repository policy</w:t>
      </w:r>
    </w:p>
    <w:p>
      <w:pPr>
        <w:pStyle w:val="FirstParagraph"/>
      </w:pPr>
      <w:r>
        <w:t xml:space="preserve">Do not create Decision Log entries for:</w:t>
      </w:r>
    </w:p>
    <w:p>
      <w:pPr>
        <w:pStyle w:val="Compact"/>
        <w:numPr>
          <w:ilvl w:val="0"/>
          <w:numId w:val="1004"/>
        </w:numPr>
      </w:pPr>
      <w:r>
        <w:t xml:space="preserve">routine bug fixes</w:t>
      </w:r>
    </w:p>
    <w:p>
      <w:pPr>
        <w:pStyle w:val="Compact"/>
        <w:numPr>
          <w:ilvl w:val="0"/>
          <w:numId w:val="1004"/>
        </w:numPr>
      </w:pPr>
      <w:r>
        <w:t xml:space="preserve">formatting changes</w:t>
      </w:r>
    </w:p>
    <w:p>
      <w:pPr>
        <w:pStyle w:val="Compact"/>
        <w:numPr>
          <w:ilvl w:val="0"/>
          <w:numId w:val="1004"/>
        </w:numPr>
      </w:pPr>
      <w:r>
        <w:t xml:space="preserve">local refactoring</w:t>
      </w:r>
    </w:p>
    <w:p>
      <w:pPr>
        <w:pStyle w:val="Compact"/>
        <w:numPr>
          <w:ilvl w:val="0"/>
          <w:numId w:val="1004"/>
        </w:numPr>
      </w:pPr>
      <w:r>
        <w:t xml:space="preserve">test additions</w:t>
      </w:r>
    </w:p>
    <w:p>
      <w:pPr>
        <w:pStyle w:val="Compact"/>
        <w:numPr>
          <w:ilvl w:val="0"/>
          <w:numId w:val="1004"/>
        </w:numPr>
      </w:pPr>
      <w:r>
        <w:t xml:space="preserve">small implementation details</w:t>
      </w:r>
    </w:p>
    <w:p>
      <w:pPr>
        <w:pStyle w:val="Compact"/>
        <w:numPr>
          <w:ilvl w:val="0"/>
          <w:numId w:val="1004"/>
        </w:numPr>
      </w:pPr>
      <w:r>
        <w:t xml:space="preserve">ordinary dependency updates</w:t>
      </w:r>
    </w:p>
    <w:p>
      <w:r>
        <w:pict>
          <v:rect style="width:0;height:1.5pt" o:hralign="center" o:hrstd="t" o:hr="t"/>
        </w:pict>
      </w:r>
    </w:p>
    <w:bookmarkEnd w:id="13"/>
    <w:bookmarkStart w:id="14" w:name="product-direction"/>
    <w:p>
      <w:pPr>
        <w:pStyle w:val="Heading1"/>
      </w:pPr>
      <w:r>
        <w:t xml:space="preserve">Product Direction</w:t>
      </w:r>
    </w:p>
    <w:p>
      <w:pPr>
        <w:pStyle w:val="FirstParagraph"/>
      </w:pPr>
      <w:r>
        <w:t xml:space="preserve">The Trading Cockpit is the primary product.</w:t>
      </w:r>
    </w:p>
    <w:p>
      <w:pPr>
        <w:pStyle w:val="BodyText"/>
      </w:pPr>
      <w:r>
        <w:t xml:space="preserve">Current product and architecture decisions shall optimize for concrete Trading Cockpit requirements.</w:t>
      </w:r>
    </w:p>
    <w:p>
      <w:pPr>
        <w:pStyle w:val="BodyText"/>
      </w:pPr>
      <w:r>
        <w:t xml:space="preserve">Product development follows:</w:t>
      </w:r>
    </w:p>
    <w:p>
      <w:pPr>
        <w:pStyle w:val="SourceCode"/>
      </w:pPr>
      <w:r>
        <w:rPr>
          <w:rStyle w:val="VerbatimChar"/>
        </w:rPr>
        <w:t xml:space="preserve">Trading Cockpit Requirement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Vertical Product Capability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and Domain Behaviour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Required Infrastructure</w:t>
      </w:r>
    </w:p>
    <w:p>
      <w:pPr>
        <w:pStyle w:val="FirstParagraph"/>
      </w:pPr>
      <w:r>
        <w:t xml:space="preserve">Shared platform capabilities may evolve when multiple concrete product capabilities require them.</w:t>
      </w:r>
    </w:p>
    <w:p>
      <w:pPr>
        <w:pStyle w:val="BodyText"/>
      </w:pPr>
      <w:r>
        <w:t xml:space="preserve">Do not introduce generic platform infrastructure solely for hypothetical future applications.</w:t>
      </w:r>
    </w:p>
    <w:p>
      <w:r>
        <w:pict>
          <v:rect style="width:0;height:1.5pt" o:hralign="center" o:hrstd="t" o:hr="t"/>
        </w:pict>
      </w:r>
    </w:p>
    <w:bookmarkEnd w:id="14"/>
    <w:bookmarkStart w:id="15" w:name="decision-identifier"/>
    <w:p>
      <w:pPr>
        <w:pStyle w:val="Heading1"/>
      </w:pPr>
      <w:r>
        <w:t xml:space="preserve">Decision Identifier</w:t>
      </w:r>
    </w:p>
    <w:p>
      <w:pPr>
        <w:pStyle w:val="FirstParagraph"/>
      </w:pPr>
      <w:r>
        <w:t xml:space="preserve">Decision Log entries use sequential identifiers.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DEC-NNNN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DEC-0001</w:t>
      </w:r>
      <w:r>
        <w:br/>
      </w:r>
      <w:r>
        <w:rPr>
          <w:rStyle w:val="VerbatimChar"/>
        </w:rPr>
        <w:t xml:space="preserve">DEC-0002</w:t>
      </w:r>
      <w:r>
        <w:br/>
      </w:r>
      <w:r>
        <w:rPr>
          <w:rStyle w:val="VerbatimChar"/>
        </w:rPr>
        <w:t xml:space="preserve">DEC-0003</w:t>
      </w:r>
    </w:p>
    <w:p>
      <w:pPr>
        <w:pStyle w:val="FirstParagraph"/>
      </w:pPr>
      <w:r>
        <w:t xml:space="preserve">Identifiers shall not be reused.</w:t>
      </w:r>
    </w:p>
    <w:p>
      <w:pPr>
        <w:pStyle w:val="BodyText"/>
      </w:pPr>
      <w:r>
        <w:t xml:space="preserve">A superseded or deprecated decision remains part of the project history.</w:t>
      </w:r>
    </w:p>
    <w:p>
      <w:pPr>
        <w:pStyle w:val="BodyText"/>
      </w:pPr>
      <w:r>
        <w:t xml:space="preserve">ADR identifiers use the separate format:</w:t>
      </w:r>
    </w:p>
    <w:p>
      <w:pPr>
        <w:pStyle w:val="SourceCode"/>
      </w:pPr>
      <w:r>
        <w:rPr>
          <w:rStyle w:val="VerbatimChar"/>
        </w:rPr>
        <w:t xml:space="preserve">ADR-NNNN</w:t>
      </w:r>
    </w:p>
    <w:p>
      <w:pPr>
        <w:pStyle w:val="FirstParagraph"/>
      </w:pPr>
      <w:r>
        <w:t xml:space="preserve">Do not assign both a DEC identifier and an ADR identifier to the same authoritative decision record.</w:t>
      </w:r>
    </w:p>
    <w:p>
      <w:r>
        <w:pict>
          <v:rect style="width:0;height:1.5pt" o:hralign="center" o:hrstd="t" o:hr="t"/>
        </w:pict>
      </w:r>
    </w:p>
    <w:bookmarkEnd w:id="15"/>
    <w:bookmarkStart w:id="16" w:name="decision-status"/>
    <w:p>
      <w:pPr>
        <w:pStyle w:val="Heading1"/>
      </w:pPr>
      <w:r>
        <w:t xml:space="preserve">Decision Status</w:t>
      </w:r>
    </w:p>
    <w:p>
      <w:pPr>
        <w:pStyle w:val="FirstParagraph"/>
      </w:pPr>
      <w:r>
        <w:t xml:space="preserve">Decision Log entries use one of the following statuses: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16"/>
    <w:bookmarkStart w:id="17" w:name="proposed"/>
    <w:p>
      <w:pPr>
        <w:pStyle w:val="Heading1"/>
      </w:pPr>
      <w:r>
        <w:t xml:space="preserve">Proposed</w:t>
      </w:r>
    </w:p>
    <w:p>
      <w:pPr>
        <w:pStyle w:val="FirstParagraph"/>
      </w:pPr>
      <w:r>
        <w:t xml:space="preserve">The decision is under consideration.</w:t>
      </w:r>
    </w:p>
    <w:p>
      <w:pPr>
        <w:pStyle w:val="BodyText"/>
      </w:pPr>
      <w:r>
        <w:t xml:space="preserve">A Proposed decision shall not be treated as an accepted project contract unless an explicitly approved prototype requires it.</w:t>
      </w:r>
    </w:p>
    <w:p>
      <w:r>
        <w:pict>
          <v:rect style="width:0;height:1.5pt" o:hralign="center" o:hrstd="t" o:hr="t"/>
        </w:pict>
      </w:r>
    </w:p>
    <w:bookmarkEnd w:id="17"/>
    <w:bookmarkStart w:id="18" w:name="accepted"/>
    <w:p>
      <w:pPr>
        <w:pStyle w:val="Heading1"/>
      </w:pPr>
      <w:r>
        <w:t xml:space="preserve">Accepted</w:t>
      </w:r>
    </w:p>
    <w:p>
      <w:pPr>
        <w:pStyle w:val="FirstParagraph"/>
      </w:pPr>
      <w:r>
        <w:t xml:space="preserve">The decision is approved and active.</w:t>
      </w:r>
    </w:p>
    <w:p>
      <w:pPr>
        <w:pStyle w:val="BodyText"/>
      </w:pPr>
      <w:r>
        <w:t xml:space="preserve">Current project documentation shall remain consistent with accepted decisions.</w:t>
      </w:r>
    </w:p>
    <w:p>
      <w:r>
        <w:pict>
          <v:rect style="width:0;height:1.5pt" o:hralign="center" o:hrstd="t" o:hr="t"/>
        </w:pict>
      </w:r>
    </w:p>
    <w:bookmarkEnd w:id="18"/>
    <w:bookmarkStart w:id="19" w:name="superseded"/>
    <w:p>
      <w:pPr>
        <w:pStyle w:val="Heading1"/>
      </w:pPr>
      <w:r>
        <w:t xml:space="preserve">Superseded</w:t>
      </w:r>
    </w:p>
    <w:p>
      <w:pPr>
        <w:pStyle w:val="FirstParagraph"/>
      </w:pPr>
      <w:r>
        <w:t xml:space="preserve">The decision has been replaced by another decision or ADR.</w:t>
      </w:r>
    </w:p>
    <w:p>
      <w:pPr>
        <w:pStyle w:val="BodyText"/>
      </w:pPr>
      <w:r>
        <w:t xml:space="preserve">The replacing decision shall be identified.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Status: Superseded</w:t>
      </w:r>
      <w:r>
        <w:br/>
      </w:r>
      <w:r>
        <w:rPr>
          <w:rStyle w:val="VerbatimChar"/>
        </w:rPr>
        <w:t xml:space="preserve">Superseded by: DEC-0008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Status: Superseded</w:t>
      </w:r>
      <w:r>
        <w:br/>
      </w:r>
      <w:r>
        <w:rPr>
          <w:rStyle w:val="VerbatimChar"/>
        </w:rPr>
        <w:t xml:space="preserve">Superseded by: ADR-0005</w:t>
      </w:r>
    </w:p>
    <w:p>
      <w:pPr>
        <w:pStyle w:val="FirstParagraph"/>
      </w:pPr>
      <w:r>
        <w:t xml:space="preserve">Do not delete superseded decisions.</w:t>
      </w:r>
    </w:p>
    <w:p>
      <w:r>
        <w:pict>
          <v:rect style="width:0;height:1.5pt" o:hralign="center" o:hrstd="t" o:hr="t"/>
        </w:pict>
      </w:r>
    </w:p>
    <w:bookmarkEnd w:id="19"/>
    <w:bookmarkStart w:id="20" w:name="deprecated"/>
    <w:p>
      <w:pPr>
        <w:pStyle w:val="Heading1"/>
      </w:pPr>
      <w:r>
        <w:t xml:space="preserve">Deprecated</w:t>
      </w:r>
    </w:p>
    <w:p>
      <w:pPr>
        <w:pStyle w:val="FirstParagraph"/>
      </w:pPr>
      <w:r>
        <w:t xml:space="preserve">The decision is no longer recommended or is being phased out.</w:t>
      </w:r>
    </w:p>
    <w:p>
      <w:pPr>
        <w:pStyle w:val="BodyText"/>
      </w:pPr>
      <w:r>
        <w:t xml:space="preserve">Use Deprecated when migration is incomplete and the decision remains relevant to current project state.</w:t>
      </w:r>
    </w:p>
    <w:p>
      <w:pPr>
        <w:pStyle w:val="BodyText"/>
      </w:pPr>
      <w:r>
        <w:t xml:space="preserve">The entry shall explain the migration context.</w:t>
      </w:r>
    </w:p>
    <w:p>
      <w:r>
        <w:pict>
          <v:rect style="width:0;height:1.5pt" o:hralign="center" o:hrstd="t" o:hr="t"/>
        </w:pict>
      </w:r>
    </w:p>
    <w:bookmarkEnd w:id="20"/>
    <w:bookmarkStart w:id="21" w:name="rejected"/>
    <w:p>
      <w:pPr>
        <w:pStyle w:val="Heading1"/>
      </w:pPr>
      <w:r>
        <w:t xml:space="preserve">Rejected</w:t>
      </w:r>
    </w:p>
    <w:p>
      <w:pPr>
        <w:pStyle w:val="FirstParagraph"/>
      </w:pPr>
      <w:r>
        <w:t xml:space="preserve">The proposed decision was evaluated and explicitly not selected.</w:t>
      </w:r>
    </w:p>
    <w:p>
      <w:pPr>
        <w:pStyle w:val="BodyText"/>
      </w:pPr>
      <w:r>
        <w:t xml:space="preserve">Rejected decisions should be preserved only when the rationale provides durable project context.</w:t>
      </w:r>
    </w:p>
    <w:p>
      <w:pPr>
        <w:pStyle w:val="BodyText"/>
      </w:pPr>
      <w:r>
        <w:t xml:space="preserve">Do not record every informal alternative as a rejected decision.</w:t>
      </w:r>
    </w:p>
    <w:p>
      <w:r>
        <w:pict>
          <v:rect style="width:0;height:1.5pt" o:hralign="center" o:hrstd="t" o:hr="t"/>
        </w:pict>
      </w:r>
    </w:p>
    <w:bookmarkEnd w:id="21"/>
    <w:bookmarkStart w:id="22" w:name="decision-entry-structure"/>
    <w:p>
      <w:pPr>
        <w:pStyle w:val="Heading1"/>
      </w:pPr>
      <w:r>
        <w:t xml:space="preserve">Decision Entry Structure</w:t>
      </w:r>
    </w:p>
    <w:p>
      <w:pPr>
        <w:pStyle w:val="FirstParagraph"/>
      </w:pPr>
      <w:r>
        <w:t xml:space="preserve">Each Decision Log entry shall use the following structure:</w:t>
      </w:r>
    </w:p>
    <w:p>
      <w:pPr>
        <w:pStyle w:val="SourceCode"/>
      </w:pPr>
      <w:r>
        <w:rPr>
          <w:rStyle w:val="VerbatimChar"/>
        </w:rPr>
        <w:t xml:space="preserve">## DEC-NNNN: Decision Title</w:t>
      </w:r>
      <w:r>
        <w:br/>
      </w:r>
      <w:r>
        <w:br/>
      </w:r>
      <w:r>
        <w:rPr>
          <w:rStyle w:val="VerbatimChar"/>
        </w:rPr>
        <w:t xml:space="preserve">Date: YYYY-MM-DD</w:t>
      </w:r>
      <w:r>
        <w:br/>
      </w:r>
      <w:r>
        <w:rPr>
          <w:rStyle w:val="VerbatimChar"/>
        </w:rPr>
        <w:t xml:space="preserve">Status: Proposed</w:t>
      </w:r>
      <w:r>
        <w:br/>
      </w:r>
      <w:r>
        <w:br/>
      </w:r>
      <w:r>
        <w:rPr>
          <w:rStyle w:val="VerbatimChar"/>
        </w:rPr>
        <w:t xml:space="preserve">### Context</w:t>
      </w:r>
      <w:r>
        <w:br/>
      </w:r>
      <w:r>
        <w:br/>
      </w:r>
      <w:r>
        <w:rPr>
          <w:rStyle w:val="VerbatimChar"/>
        </w:rPr>
        <w:t xml:space="preserve">Describe the concrete product, technology or process requirement.</w:t>
      </w:r>
      <w:r>
        <w:br/>
      </w:r>
      <w:r>
        <w:br/>
      </w:r>
      <w:r>
        <w:rPr>
          <w:rStyle w:val="VerbatimChar"/>
        </w:rPr>
        <w:t xml:space="preserve">### Decision</w:t>
      </w:r>
      <w:r>
        <w:br/>
      </w:r>
      <w:r>
        <w:br/>
      </w:r>
      <w:r>
        <w:rPr>
          <w:rStyle w:val="VerbatimChar"/>
        </w:rPr>
        <w:t xml:space="preserve">Describe the selected decision explicitly.</w:t>
      </w:r>
      <w:r>
        <w:br/>
      </w:r>
      <w:r>
        <w:br/>
      </w:r>
      <w:r>
        <w:rPr>
          <w:rStyle w:val="VerbatimChar"/>
        </w:rPr>
        <w:t xml:space="preserve">### Rationale</w:t>
      </w:r>
      <w:r>
        <w:br/>
      </w:r>
      <w:r>
        <w:br/>
      </w:r>
      <w:r>
        <w:rPr>
          <w:rStyle w:val="VerbatimChar"/>
        </w:rPr>
        <w:t xml:space="preserve">Explain why the decision was selected.</w:t>
      </w:r>
      <w:r>
        <w:br/>
      </w:r>
      <w:r>
        <w:br/>
      </w:r>
      <w:r>
        <w:rPr>
          <w:rStyle w:val="VerbatimChar"/>
        </w:rPr>
        <w:t xml:space="preserve">### Alternatives Considered</w:t>
      </w:r>
      <w:r>
        <w:br/>
      </w:r>
      <w:r>
        <w:br/>
      </w:r>
      <w:r>
        <w:rPr>
          <w:rStyle w:val="VerbatimChar"/>
        </w:rPr>
        <w:t xml:space="preserve">Describe materially relevant alternatives.</w:t>
      </w:r>
      <w:r>
        <w:br/>
      </w:r>
      <w:r>
        <w:br/>
      </w:r>
      <w:r>
        <w:rPr>
          <w:rStyle w:val="VerbatimChar"/>
        </w:rPr>
        <w:t xml:space="preserve">### Consequences</w:t>
      </w:r>
      <w:r>
        <w:br/>
      </w:r>
      <w:r>
        <w:br/>
      </w:r>
      <w:r>
        <w:rPr>
          <w:rStyle w:val="VerbatimChar"/>
        </w:rPr>
        <w:t xml:space="preserve">Positive:</w:t>
      </w:r>
      <w:r>
        <w:br/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Negative:</w:t>
      </w:r>
      <w:r>
        <w:br/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### Impact</w:t>
      </w:r>
      <w:r>
        <w:br/>
      </w:r>
      <w:r>
        <w:br/>
      </w:r>
      <w:r>
        <w:rPr>
          <w:rStyle w:val="VerbatimChar"/>
        </w:rPr>
        <w:t xml:space="preserve">Identify affected project areas.</w:t>
      </w:r>
      <w:r>
        <w:br/>
      </w:r>
      <w:r>
        <w:br/>
      </w:r>
      <w:r>
        <w:rPr>
          <w:rStyle w:val="VerbatimChar"/>
        </w:rPr>
        <w:t xml:space="preserve">### Related Documents</w:t>
      </w:r>
      <w:r>
        <w:br/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t xml:space="preserve">Additional sections may be added when required.</w:t>
      </w:r>
    </w:p>
    <w:p>
      <w:pPr>
        <w:pStyle w:val="BodyText"/>
      </w:pPr>
      <w:r>
        <w:t xml:space="preserve">Do not remove the core decision context.</w:t>
      </w:r>
    </w:p>
    <w:p>
      <w:r>
        <w:pict>
          <v:rect style="width:0;height:1.5pt" o:hralign="center" o:hrstd="t" o:hr="t"/>
        </w:pict>
      </w:r>
    </w:p>
    <w:bookmarkEnd w:id="22"/>
    <w:bookmarkStart w:id="23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The Context section shall describe the concrete problem or requirement.</w:t>
      </w:r>
    </w:p>
    <w:p>
      <w:pPr>
        <w:pStyle w:val="BodyText"/>
      </w:pPr>
      <w:r>
        <w:t xml:space="preserve">Good context identifies:</w:t>
      </w:r>
    </w:p>
    <w:p>
      <w:pPr>
        <w:pStyle w:val="Compact"/>
        <w:numPr>
          <w:ilvl w:val="0"/>
          <w:numId w:val="1005"/>
        </w:numPr>
      </w:pPr>
      <w:r>
        <w:t xml:space="preserve">current situation</w:t>
      </w:r>
    </w:p>
    <w:p>
      <w:pPr>
        <w:pStyle w:val="Compact"/>
        <w:numPr>
          <w:ilvl w:val="0"/>
          <w:numId w:val="1005"/>
        </w:numPr>
      </w:pPr>
      <w:r>
        <w:t xml:space="preserve">concrete requirement</w:t>
      </w:r>
    </w:p>
    <w:p>
      <w:pPr>
        <w:pStyle w:val="Compact"/>
        <w:numPr>
          <w:ilvl w:val="0"/>
          <w:numId w:val="1005"/>
        </w:numPr>
      </w:pPr>
      <w:r>
        <w:t xml:space="preserve">current limitation</w:t>
      </w:r>
    </w:p>
    <w:p>
      <w:pPr>
        <w:pStyle w:val="Compact"/>
        <w:numPr>
          <w:ilvl w:val="0"/>
          <w:numId w:val="1005"/>
        </w:numPr>
      </w:pPr>
      <w:r>
        <w:t xml:space="preserve">affected project area</w:t>
      </w:r>
    </w:p>
    <w:p>
      <w:pPr>
        <w:pStyle w:val="FirstParagraph"/>
      </w:pPr>
      <w:r>
        <w:t xml:space="preserve">Do not use speculative future scalability as the only context unless a concrete approved requirement exists.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The Decision section shall be explicit.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The Trading Cockpit shall be the primary product and architecture decisions shall optimize for concrete Trading Cockpit requirements.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We should probably focus more on the application.</w:t>
      </w:r>
    </w:p>
    <w:p>
      <w:pPr>
        <w:pStyle w:val="FirstParagraph"/>
      </w:pPr>
      <w:r>
        <w:t xml:space="preserve">The selected direction shall be unambiguous.</w:t>
      </w:r>
    </w:p>
    <w:p>
      <w:r>
        <w:pict>
          <v:rect style="width:0;height:1.5pt" o:hralign="center" o:hrstd="t" o:hr="t"/>
        </w:pict>
      </w:r>
    </w:p>
    <w:bookmarkEnd w:id="24"/>
    <w:bookmarkStart w:id="25" w:name="rationale"/>
    <w:p>
      <w:pPr>
        <w:pStyle w:val="Heading1"/>
      </w:pPr>
      <w:r>
        <w:t xml:space="preserve">Rationale</w:t>
      </w:r>
    </w:p>
    <w:p>
      <w:pPr>
        <w:pStyle w:val="FirstParagraph"/>
      </w:pPr>
      <w:r>
        <w:t xml:space="preserve">The Rationale section explains why the decision was selected.</w:t>
      </w:r>
    </w:p>
    <w:p>
      <w:pPr>
        <w:pStyle w:val="BodyText"/>
      </w:pPr>
      <w:r>
        <w:t xml:space="preserve">Relevant criteria may include:</w:t>
      </w:r>
    </w:p>
    <w:p>
      <w:pPr>
        <w:pStyle w:val="Compact"/>
        <w:numPr>
          <w:ilvl w:val="0"/>
          <w:numId w:val="1006"/>
        </w:numPr>
      </w:pPr>
      <w:r>
        <w:t xml:space="preserve">product requirement</w:t>
      </w:r>
    </w:p>
    <w:p>
      <w:pPr>
        <w:pStyle w:val="Compact"/>
        <w:numPr>
          <w:ilvl w:val="0"/>
          <w:numId w:val="1006"/>
        </w:numPr>
      </w:pPr>
      <w:r>
        <w:t xml:space="preserve">architecture consistency</w:t>
      </w:r>
    </w:p>
    <w:p>
      <w:pPr>
        <w:pStyle w:val="Compact"/>
        <w:numPr>
          <w:ilvl w:val="0"/>
          <w:numId w:val="1006"/>
        </w:numPr>
      </w:pPr>
      <w:r>
        <w:t xml:space="preserve">maintainability</w:t>
      </w:r>
    </w:p>
    <w:p>
      <w:pPr>
        <w:pStyle w:val="Compact"/>
        <w:numPr>
          <w:ilvl w:val="0"/>
          <w:numId w:val="1006"/>
        </w:numPr>
      </w:pPr>
      <w:r>
        <w:t xml:space="preserve">testability</w:t>
      </w:r>
    </w:p>
    <w:p>
      <w:pPr>
        <w:pStyle w:val="Compact"/>
        <w:numPr>
          <w:ilvl w:val="0"/>
          <w:numId w:val="1006"/>
        </w:numPr>
      </w:pPr>
      <w:r>
        <w:t xml:space="preserve">operational safety</w:t>
      </w:r>
    </w:p>
    <w:p>
      <w:pPr>
        <w:pStyle w:val="Compact"/>
        <w:numPr>
          <w:ilvl w:val="0"/>
          <w:numId w:val="1006"/>
        </w:numPr>
      </w:pPr>
      <w:r>
        <w:t xml:space="preserve">development efficiency</w:t>
      </w:r>
    </w:p>
    <w:p>
      <w:pPr>
        <w:pStyle w:val="Compact"/>
        <w:numPr>
          <w:ilvl w:val="0"/>
          <w:numId w:val="1006"/>
        </w:numPr>
      </w:pPr>
      <w:r>
        <w:t xml:space="preserve">migration cost</w:t>
      </w:r>
    </w:p>
    <w:p>
      <w:pPr>
        <w:pStyle w:val="Compact"/>
        <w:numPr>
          <w:ilvl w:val="0"/>
          <w:numId w:val="1006"/>
        </w:numPr>
      </w:pPr>
      <w:r>
        <w:t xml:space="preserve">real consumers</w:t>
      </w:r>
    </w:p>
    <w:p>
      <w:pPr>
        <w:pStyle w:val="FirstParagraph"/>
      </w:pPr>
      <w:r>
        <w:t xml:space="preserve">Avoid generic claims such as:</w:t>
      </w:r>
    </w:p>
    <w:p>
      <w:pPr>
        <w:pStyle w:val="SourceCode"/>
      </w:pPr>
      <w:r>
        <w:rPr>
          <w:rStyle w:val="VerbatimChar"/>
        </w:rPr>
        <w:t xml:space="preserve">More scalable</w:t>
      </w:r>
      <w:r>
        <w:br/>
      </w:r>
      <w:r>
        <w:rPr>
          <w:rStyle w:val="VerbatimChar"/>
        </w:rPr>
        <w:t xml:space="preserve">More enterprise-ready</w:t>
      </w:r>
      <w:r>
        <w:br/>
      </w:r>
      <w:r>
        <w:rPr>
          <w:rStyle w:val="VerbatimChar"/>
        </w:rPr>
        <w:t xml:space="preserve">More modern</w:t>
      </w:r>
    </w:p>
    <w:p>
      <w:pPr>
        <w:pStyle w:val="FirstParagraph"/>
      </w:pPr>
      <w:r>
        <w:t xml:space="preserve">without concrete project-specific reasoning.</w:t>
      </w:r>
    </w:p>
    <w:p>
      <w:r>
        <w:pict>
          <v:rect style="width:0;height:1.5pt" o:hralign="center" o:hrstd="t" o:hr="t"/>
        </w:pict>
      </w:r>
    </w:p>
    <w:bookmarkEnd w:id="25"/>
    <w:bookmarkStart w:id="26" w:name="alternatives-considered"/>
    <w:p>
      <w:pPr>
        <w:pStyle w:val="Heading1"/>
      </w:pPr>
      <w:r>
        <w:t xml:space="preserve">Alternatives Considered</w:t>
      </w:r>
    </w:p>
    <w:p>
      <w:pPr>
        <w:pStyle w:val="FirstParagraph"/>
      </w:pPr>
      <w:r>
        <w:t xml:space="preserve">Document materially relevant alternatives.</w:t>
      </w:r>
    </w:p>
    <w:p>
      <w:pPr>
        <w:pStyle w:val="BodyText"/>
      </w:pPr>
      <w:r>
        <w:t xml:space="preserve">An alternative should have been realistic enough to affect the decision.</w:t>
      </w:r>
    </w:p>
    <w:p>
      <w:pPr>
        <w:pStyle w:val="BodyText"/>
      </w:pPr>
      <w:r>
        <w:t xml:space="preserve">Do not invent artificial alternatives solely to complete the template.</w:t>
      </w:r>
    </w:p>
    <w:p>
      <w:pPr>
        <w:pStyle w:val="BodyText"/>
      </w:pPr>
      <w:r>
        <w:t xml:space="preserve">For each alternative explain why it was not selected.</w:t>
      </w:r>
    </w:p>
    <w:p>
      <w:pPr>
        <w:pStyle w:val="BodyText"/>
      </w:pPr>
      <w:r>
        <w:t xml:space="preserve">Architecture-significant alternatives belong primarily in the owning ADR.</w:t>
      </w:r>
    </w:p>
    <w:p>
      <w:r>
        <w:pict>
          <v:rect style="width:0;height:1.5pt" o:hralign="center" o:hrstd="t" o:hr="t"/>
        </w:pict>
      </w:r>
    </w:p>
    <w:bookmarkEnd w:id="26"/>
    <w:bookmarkStart w:id="27" w:name="consequences"/>
    <w:p>
      <w:pPr>
        <w:pStyle w:val="Heading1"/>
      </w:pPr>
      <w:r>
        <w:t xml:space="preserve">Consequences</w:t>
      </w:r>
    </w:p>
    <w:p>
      <w:pPr>
        <w:pStyle w:val="FirstParagraph"/>
      </w:pPr>
      <w:r>
        <w:t xml:space="preserve">Document both positive and negative consequences.</w:t>
      </w:r>
    </w:p>
    <w:p>
      <w:pPr>
        <w:pStyle w:val="BodyText"/>
      </w:pPr>
      <w:r>
        <w:t xml:space="preserve">Positive consequences may include:</w:t>
      </w:r>
    </w:p>
    <w:p>
      <w:pPr>
        <w:pStyle w:val="Compact"/>
        <w:numPr>
          <w:ilvl w:val="0"/>
          <w:numId w:val="1007"/>
        </w:numPr>
      </w:pPr>
      <w:r>
        <w:t xml:space="preserve">clearer product focus</w:t>
      </w:r>
    </w:p>
    <w:p>
      <w:pPr>
        <w:pStyle w:val="Compact"/>
        <w:numPr>
          <w:ilvl w:val="0"/>
          <w:numId w:val="1007"/>
        </w:numPr>
      </w:pPr>
      <w:r>
        <w:t xml:space="preserve">reduced complexity</w:t>
      </w:r>
    </w:p>
    <w:p>
      <w:pPr>
        <w:pStyle w:val="Compact"/>
        <w:numPr>
          <w:ilvl w:val="0"/>
          <w:numId w:val="1007"/>
        </w:numPr>
      </w:pPr>
      <w:r>
        <w:t xml:space="preserve">stronger ownership</w:t>
      </w:r>
    </w:p>
    <w:p>
      <w:pPr>
        <w:pStyle w:val="Compact"/>
        <w:numPr>
          <w:ilvl w:val="0"/>
          <w:numId w:val="1007"/>
        </w:numPr>
      </w:pPr>
      <w:r>
        <w:t xml:space="preserve">improved testability</w:t>
      </w:r>
    </w:p>
    <w:p>
      <w:pPr>
        <w:pStyle w:val="Compact"/>
        <w:numPr>
          <w:ilvl w:val="0"/>
          <w:numId w:val="1007"/>
        </w:numPr>
      </w:pPr>
      <w:r>
        <w:t xml:space="preserve">simpler development workflow</w:t>
      </w:r>
    </w:p>
    <w:p>
      <w:pPr>
        <w:pStyle w:val="FirstParagraph"/>
      </w:pPr>
      <w:r>
        <w:t xml:space="preserve">Negative consequences may include:</w:t>
      </w:r>
    </w:p>
    <w:p>
      <w:pPr>
        <w:pStyle w:val="Compact"/>
        <w:numPr>
          <w:ilvl w:val="0"/>
          <w:numId w:val="1008"/>
        </w:numPr>
      </w:pPr>
      <w:r>
        <w:t xml:space="preserve">migration effort</w:t>
      </w:r>
    </w:p>
    <w:p>
      <w:pPr>
        <w:pStyle w:val="Compact"/>
        <w:numPr>
          <w:ilvl w:val="0"/>
          <w:numId w:val="1008"/>
        </w:numPr>
      </w:pPr>
      <w:r>
        <w:t xml:space="preserve">reduced generic reuse</w:t>
      </w:r>
    </w:p>
    <w:p>
      <w:pPr>
        <w:pStyle w:val="Compact"/>
        <w:numPr>
          <w:ilvl w:val="0"/>
          <w:numId w:val="1008"/>
        </w:numPr>
      </w:pPr>
      <w:r>
        <w:t xml:space="preserve">stronger process requirements</w:t>
      </w:r>
    </w:p>
    <w:p>
      <w:pPr>
        <w:pStyle w:val="Compact"/>
        <w:numPr>
          <w:ilvl w:val="0"/>
          <w:numId w:val="1008"/>
        </w:numPr>
      </w:pPr>
      <w:r>
        <w:t xml:space="preserve">additional validation</w:t>
      </w:r>
    </w:p>
    <w:p>
      <w:pPr>
        <w:pStyle w:val="Compact"/>
        <w:numPr>
          <w:ilvl w:val="0"/>
          <w:numId w:val="1008"/>
        </w:numPr>
      </w:pPr>
      <w:r>
        <w:t xml:space="preserve">explicit documentation maintenance</w:t>
      </w:r>
    </w:p>
    <w:p>
      <w:pPr>
        <w:pStyle w:val="FirstParagraph"/>
      </w:pPr>
      <w:r>
        <w:t xml:space="preserve">Do not describe significant decisions as having only benefits.</w:t>
      </w:r>
    </w:p>
    <w:p>
      <w:r>
        <w:pict>
          <v:rect style="width:0;height:1.5pt" o:hralign="center" o:hrstd="t" o:hr="t"/>
        </w:pict>
      </w:r>
    </w:p>
    <w:bookmarkEnd w:id="27"/>
    <w:bookmarkStart w:id="28" w:name="impact"/>
    <w:p>
      <w:pPr>
        <w:pStyle w:val="Heading1"/>
      </w:pPr>
      <w:r>
        <w:t xml:space="preserve">Impact</w:t>
      </w:r>
    </w:p>
    <w:p>
      <w:pPr>
        <w:pStyle w:val="FirstParagraph"/>
      </w:pPr>
      <w:r>
        <w:t xml:space="preserve">Identify concrete affected project areas.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Product</w:t>
      </w:r>
    </w:p>
    <w:p>
      <w:pPr>
        <w:pStyle w:val="Compact"/>
        <w:numPr>
          <w:ilvl w:val="0"/>
          <w:numId w:val="1009"/>
        </w:numPr>
      </w:pPr>
      <w:r>
        <w:t xml:space="preserve">Architecture</w:t>
      </w:r>
    </w:p>
    <w:p>
      <w:pPr>
        <w:pStyle w:val="Compact"/>
        <w:numPr>
          <w:ilvl w:val="0"/>
          <w:numId w:val="1009"/>
        </w:numPr>
      </w:pPr>
      <w:r>
        <w:t xml:space="preserve">Domain</w:t>
      </w:r>
    </w:p>
    <w:p>
      <w:pPr>
        <w:pStyle w:val="Compact"/>
        <w:numPr>
          <w:ilvl w:val="0"/>
          <w:numId w:val="1009"/>
        </w:numPr>
      </w:pPr>
      <w:r>
        <w:t xml:space="preserve">Application</w:t>
      </w:r>
    </w:p>
    <w:p>
      <w:pPr>
        <w:pStyle w:val="Compact"/>
        <w:numPr>
          <w:ilvl w:val="0"/>
          <w:numId w:val="1009"/>
        </w:numPr>
      </w:pPr>
      <w:r>
        <w:t xml:space="preserve">Infrastructure</w:t>
      </w:r>
    </w:p>
    <w:p>
      <w:pPr>
        <w:pStyle w:val="Compact"/>
        <w:numPr>
          <w:ilvl w:val="0"/>
          <w:numId w:val="1009"/>
        </w:numPr>
      </w:pPr>
      <w:r>
        <w:t xml:space="preserve">Presentation</w:t>
      </w:r>
    </w:p>
    <w:p>
      <w:pPr>
        <w:pStyle w:val="Compact"/>
        <w:numPr>
          <w:ilvl w:val="0"/>
          <w:numId w:val="1009"/>
        </w:numPr>
      </w:pPr>
      <w:r>
        <w:t xml:space="preserve">Runtime</w:t>
      </w:r>
    </w:p>
    <w:p>
      <w:pPr>
        <w:pStyle w:val="Compact"/>
        <w:numPr>
          <w:ilvl w:val="0"/>
          <w:numId w:val="1009"/>
        </w:numPr>
      </w:pPr>
      <w:r>
        <w:t xml:space="preserve">Persistence</w:t>
      </w:r>
    </w:p>
    <w:p>
      <w:pPr>
        <w:pStyle w:val="Compact"/>
        <w:numPr>
          <w:ilvl w:val="0"/>
          <w:numId w:val="1009"/>
        </w:numPr>
      </w:pPr>
      <w:r>
        <w:t xml:space="preserve">Configuration</w:t>
      </w:r>
    </w:p>
    <w:p>
      <w:pPr>
        <w:pStyle w:val="Compact"/>
        <w:numPr>
          <w:ilvl w:val="0"/>
          <w:numId w:val="1009"/>
        </w:numPr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CI/CD</w:t>
      </w:r>
    </w:p>
    <w:p>
      <w:pPr>
        <w:pStyle w:val="Compact"/>
        <w:numPr>
          <w:ilvl w:val="0"/>
          <w:numId w:val="1009"/>
        </w:numPr>
      </w:pPr>
      <w:r>
        <w:t xml:space="preserve">Development Workflow</w:t>
      </w:r>
    </w:p>
    <w:p>
      <w:pPr>
        <w:pStyle w:val="FirstParagraph"/>
      </w:pPr>
      <w:r>
        <w:t xml:space="preserve">Do not list unaffected areas solely to make the entry appear comprehensive.</w:t>
      </w:r>
    </w:p>
    <w:p>
      <w:r>
        <w:pict>
          <v:rect style="width:0;height:1.5pt" o:hralign="center" o:hrstd="t" o:hr="t"/>
        </w:pict>
      </w:r>
    </w:p>
    <w:bookmarkEnd w:id="28"/>
    <w:bookmarkStart w:id="29" w:name="decision-index"/>
    <w:p>
      <w:pPr>
        <w:pStyle w:val="Heading1"/>
      </w:pPr>
      <w:r>
        <w:t xml:space="preserve">Decision Index</w:t>
      </w:r>
    </w:p>
    <w:p>
      <w:pPr>
        <w:pStyle w:val="FirstParagraph"/>
      </w:pPr>
      <w:r>
        <w:t xml:space="preserve">The Decision Index is the central discovery mechanism for accepted and historical decisions.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179"/>
        <w:gridCol w:w="1011"/>
        <w:gridCol w:w="1348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Authoritative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DEC-0001</w:t>
            </w:r>
          </w:p>
        </w:tc>
        <w:tc>
          <w:tcPr/>
          <w:p>
            <w:pPr>
              <w:pStyle w:val="Compact"/>
            </w:pPr>
            <w:r>
              <w:t xml:space="preserve">Trading Cockpit as Primary 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DEC-0002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DEC-0003</w:t>
            </w:r>
          </w:p>
        </w:tc>
        <w:tc>
          <w:tcPr/>
          <w:p>
            <w:pPr>
              <w:pStyle w:val="Compact"/>
            </w:pPr>
            <w:r>
              <w:t xml:space="preserve">Ruff as Formatter and Linter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DEC-0004</w:t>
            </w:r>
          </w:p>
        </w:tc>
        <w:tc>
          <w:tcPr/>
          <w:p>
            <w:pPr>
              <w:pStyle w:val="Compact"/>
            </w:pPr>
            <w:r>
              <w:t xml:space="preserve">GitHub Actions for CI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DEC-0005</w:t>
            </w:r>
          </w:p>
        </w:tc>
        <w:tc>
          <w:tcPr/>
          <w:p>
            <w:pPr>
              <w:pStyle w:val="Compact"/>
            </w:pPr>
            <w:r>
              <w:t xml:space="preserve">Markdown as Documentation Source of Truth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DEC-0006</w:t>
            </w:r>
          </w:p>
        </w:tc>
        <w:tc>
          <w:tcPr/>
          <w:p>
            <w:pPr>
              <w:pStyle w:val="Compact"/>
            </w:pPr>
            <w:r>
              <w:t xml:space="preserve">Documentation Generation Before Commit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DEC-0007</w:t>
            </w:r>
          </w:p>
        </w:tc>
        <w:tc>
          <w:tcPr/>
          <w:p>
            <w:pPr>
              <w:pStyle w:val="Compact"/>
            </w:pPr>
            <w:r>
              <w:t xml:space="preserve">Dedicated Development Branches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</w:tbl>
    <w:p>
      <w:pPr>
        <w:pStyle w:val="BodyText"/>
      </w:pPr>
      <w:r>
        <w:t xml:space="preserve">Architecture decisions shall be added to the index only when an owning ADR exists.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| ADR-0005 | Use Vertical Product Slices | Architecture | Accepted | docs/adr/0005-use-vertical-product-slices.md |</w:t>
      </w:r>
    </w:p>
    <w:p>
      <w:pPr>
        <w:pStyle w:val="FirstParagraph"/>
      </w:pPr>
      <w:r>
        <w:t xml:space="preserve">Do not list architecture slogans such as:</w:t>
      </w:r>
    </w:p>
    <w:p>
      <w:pPr>
        <w:pStyle w:val="SourceCode"/>
      </w:pPr>
      <w:r>
        <w:rPr>
          <w:rStyle w:val="VerbatimChar"/>
        </w:rPr>
        <w:t xml:space="preserve">Clean Architecture</w:t>
      </w:r>
      <w:r>
        <w:br/>
      </w:r>
      <w:r>
        <w:rPr>
          <w:rStyle w:val="VerbatimChar"/>
        </w:rPr>
        <w:t xml:space="preserve">Domain-Driven Design</w:t>
      </w:r>
      <w:r>
        <w:br/>
      </w:r>
      <w:r>
        <w:rPr>
          <w:rStyle w:val="VerbatimChar"/>
        </w:rPr>
        <w:t xml:space="preserve">Event-Driven Architecture</w:t>
      </w:r>
    </w:p>
    <w:p>
      <w:pPr>
        <w:pStyle w:val="FirstParagraph"/>
      </w:pPr>
      <w:r>
        <w:t xml:space="preserve">as accepted project decisions unless a concrete project-specific ADR defines the actual decision and its consequences.</w:t>
      </w:r>
    </w:p>
    <w:p>
      <w:r>
        <w:pict>
          <v:rect style="width:0;height:1.5pt" o:hralign="center" o:hrstd="t" o:hr="t"/>
        </w:pict>
      </w:r>
    </w:p>
    <w:bookmarkEnd w:id="29"/>
    <w:bookmarkStart w:id="86" w:name="initial-decision-entries"/>
    <w:p>
      <w:pPr>
        <w:pStyle w:val="Heading1"/>
      </w:pPr>
      <w:r>
        <w:t xml:space="preserve">Initial Decision Entries</w:t>
      </w:r>
    </w:p>
    <w:p>
      <w:pPr>
        <w:pStyle w:val="FirstParagraph"/>
      </w:pPr>
      <w:r>
        <w:t xml:space="preserve">The following entries establish the current project decision baseline.</w:t>
      </w:r>
    </w:p>
    <w:p>
      <w:r>
        <w:pict>
          <v:rect style="width:0;height:1.5pt" o:hralign="center" o:hrstd="t" o:hr="t"/>
        </w:pict>
      </w:r>
    </w:p>
    <w:bookmarkStart w:id="37" w:name="Xb3630df481f81cbb46245de5b07d18e4969f4d5"/>
    <w:p>
      <w:pPr>
        <w:pStyle w:val="Heading2"/>
      </w:pPr>
      <w:r>
        <w:t xml:space="preserve">DEC-0001: Trading Cockpit as Primary Product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30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Trading Platform Pro was previously described primarily as a generic modular platform supporting future trading applications.</w:t>
      </w:r>
    </w:p>
    <w:p>
      <w:pPr>
        <w:pStyle w:val="BodyText"/>
      </w:pPr>
      <w:r>
        <w:t xml:space="preserve">The current product requirement is to develop the Trading Cockpit as the primary concrete product.</w:t>
      </w:r>
    </w:p>
    <w:p>
      <w:pPr>
        <w:pStyle w:val="BodyText"/>
      </w:pPr>
      <w:r>
        <w:t xml:space="preserve">Generic platform-first development introduced a risk of speculative abstractions without demonstrated consumers.</w:t>
      </w:r>
    </w:p>
    <w:bookmarkEnd w:id="30"/>
    <w:bookmarkStart w:id="31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Trading Cockpit shall be the primary product.</w:t>
      </w:r>
    </w:p>
    <w:p>
      <w:pPr>
        <w:pStyle w:val="BodyText"/>
      </w:pPr>
      <w:r>
        <w:t xml:space="preserve">Architecture and development decisions shall optimize for concrete Trading Cockpit requirements.</w:t>
      </w:r>
    </w:p>
    <w:p>
      <w:pPr>
        <w:pStyle w:val="BodyText"/>
      </w:pPr>
      <w:r>
        <w:t xml:space="preserve">Shared platform capabilities may evolve when multiple concrete product capabilities require them.</w:t>
      </w:r>
    </w:p>
    <w:bookmarkEnd w:id="31"/>
    <w:bookmarkStart w:id="32" w:name="rationale-1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decision:</w:t>
      </w:r>
    </w:p>
    <w:p>
      <w:pPr>
        <w:pStyle w:val="Compact"/>
        <w:numPr>
          <w:ilvl w:val="0"/>
          <w:numId w:val="1010"/>
        </w:numPr>
      </w:pPr>
      <w:r>
        <w:t xml:space="preserve">aligns architecture with the current product</w:t>
      </w:r>
    </w:p>
    <w:p>
      <w:pPr>
        <w:pStyle w:val="Compact"/>
        <w:numPr>
          <w:ilvl w:val="0"/>
          <w:numId w:val="1010"/>
        </w:numPr>
      </w:pPr>
      <w:r>
        <w:t xml:space="preserve">reduces speculative infrastructure</w:t>
      </w:r>
    </w:p>
    <w:p>
      <w:pPr>
        <w:pStyle w:val="Compact"/>
        <w:numPr>
          <w:ilvl w:val="0"/>
          <w:numId w:val="1010"/>
        </w:numPr>
      </w:pPr>
      <w:r>
        <w:t xml:space="preserve">supports vertical product capabilities</w:t>
      </w:r>
    </w:p>
    <w:p>
      <w:pPr>
        <w:pStyle w:val="Compact"/>
        <w:numPr>
          <w:ilvl w:val="0"/>
          <w:numId w:val="1010"/>
        </w:numPr>
      </w:pPr>
      <w:r>
        <w:t xml:space="preserve">keeps shared abstractions demand-driven</w:t>
      </w:r>
    </w:p>
    <w:bookmarkEnd w:id="32"/>
    <w:bookmarkStart w:id="33" w:name="alternatives-considered-1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Generic platform-first development was considered.</w:t>
      </w:r>
    </w:p>
    <w:p>
      <w:pPr>
        <w:pStyle w:val="BodyText"/>
      </w:pPr>
      <w:r>
        <w:t xml:space="preserve">It was not selected because future application requirements are not sufficiently concrete to justify platform abstractions as the primary architecture driver.</w:t>
      </w:r>
    </w:p>
    <w:bookmarkEnd w:id="33"/>
    <w:bookmarkStart w:id="34" w:name="consequences-1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11"/>
        </w:numPr>
      </w:pPr>
      <w:r>
        <w:t xml:space="preserve">clearer product direction</w:t>
      </w:r>
    </w:p>
    <w:p>
      <w:pPr>
        <w:pStyle w:val="Compact"/>
        <w:numPr>
          <w:ilvl w:val="0"/>
          <w:numId w:val="1011"/>
        </w:numPr>
      </w:pPr>
      <w:r>
        <w:t xml:space="preserve">reduced speculative architecture</w:t>
      </w:r>
    </w:p>
    <w:p>
      <w:pPr>
        <w:pStyle w:val="Compact"/>
        <w:numPr>
          <w:ilvl w:val="0"/>
          <w:numId w:val="1011"/>
        </w:numPr>
      </w:pPr>
      <w:r>
        <w:t xml:space="preserve">stronger capability ownership</w:t>
      </w:r>
    </w:p>
    <w:p>
      <w:pPr>
        <w:pStyle w:val="Compact"/>
        <w:numPr>
          <w:ilvl w:val="0"/>
          <w:numId w:val="1011"/>
        </w:numPr>
      </w:pPr>
      <w:r>
        <w:t xml:space="preserve">simpler prioritization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12"/>
        </w:numPr>
      </w:pPr>
      <w:r>
        <w:t xml:space="preserve">future applications may require later extraction of shared capabilities</w:t>
      </w:r>
    </w:p>
    <w:p>
      <w:pPr>
        <w:pStyle w:val="Compact"/>
        <w:numPr>
          <w:ilvl w:val="0"/>
          <w:numId w:val="1012"/>
        </w:numPr>
      </w:pPr>
      <w:r>
        <w:t xml:space="preserve">some generic reuse is intentionally deferred</w:t>
      </w:r>
    </w:p>
    <w:bookmarkEnd w:id="34"/>
    <w:bookmarkStart w:id="35" w:name="impact-1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13"/>
        </w:numPr>
      </w:pPr>
      <w:r>
        <w:t xml:space="preserve">Product</w:t>
      </w:r>
    </w:p>
    <w:p>
      <w:pPr>
        <w:pStyle w:val="Compact"/>
        <w:numPr>
          <w:ilvl w:val="0"/>
          <w:numId w:val="1013"/>
        </w:numPr>
      </w:pPr>
      <w:r>
        <w:t xml:space="preserve">Architecture</w:t>
      </w:r>
    </w:p>
    <w:p>
      <w:pPr>
        <w:pStyle w:val="Compact"/>
        <w:numPr>
          <w:ilvl w:val="0"/>
          <w:numId w:val="1013"/>
        </w:numPr>
      </w:pPr>
      <w:r>
        <w:t xml:space="preserve">Development Workflow</w:t>
      </w:r>
    </w:p>
    <w:p>
      <w:pPr>
        <w:pStyle w:val="Compact"/>
        <w:numPr>
          <w:ilvl w:val="0"/>
          <w:numId w:val="1013"/>
        </w:numPr>
      </w:pPr>
      <w:r>
        <w:t xml:space="preserve">Documentation</w:t>
      </w:r>
    </w:p>
    <w:bookmarkEnd w:id="35"/>
    <w:bookmarkStart w:id="36" w:name="related-documents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14"/>
        </w:numPr>
      </w:pPr>
      <w:r>
        <w:t xml:space="preserve">Product_Vision.md</w:t>
      </w:r>
    </w:p>
    <w:p>
      <w:pPr>
        <w:pStyle w:val="Compact"/>
        <w:numPr>
          <w:ilvl w:val="0"/>
          <w:numId w:val="1014"/>
        </w:numPr>
      </w:pPr>
      <w:r>
        <w:t xml:space="preserve">Product_Roadmap.md</w:t>
      </w:r>
    </w:p>
    <w:p>
      <w:pPr>
        <w:pStyle w:val="Compact"/>
        <w:numPr>
          <w:ilvl w:val="0"/>
          <w:numId w:val="1014"/>
        </w:numPr>
      </w:pPr>
      <w:r>
        <w:t xml:space="preserve">Project_Overview.md</w:t>
      </w:r>
    </w:p>
    <w:p>
      <w:pPr>
        <w:pStyle w:val="Compact"/>
        <w:numPr>
          <w:ilvl w:val="0"/>
          <w:numId w:val="1014"/>
        </w:numPr>
      </w:pPr>
      <w:r>
        <w:t xml:space="preserve">Architecture.md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dec-0002-python-3.13"/>
    <w:p>
      <w:pPr>
        <w:pStyle w:val="Heading2"/>
      </w:pPr>
      <w:r>
        <w:t xml:space="preserve">DEC-0002: Python 3.13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38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project requires one explicit supported Python runtime for development, testing and CI.</w:t>
      </w:r>
    </w:p>
    <w:bookmarkEnd w:id="38"/>
    <w:bookmarkStart w:id="39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Python 3.13 shall be the supported Python version.</w:t>
      </w:r>
    </w:p>
    <w:bookmarkEnd w:id="39"/>
    <w:bookmarkStart w:id="40" w:name="rationale-2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A single explicit runtime reduces environment ambiguity and keeps local development and CI aligned.</w:t>
      </w:r>
    </w:p>
    <w:bookmarkEnd w:id="40"/>
    <w:bookmarkStart w:id="41" w:name="alternatives-considered-2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Supporting multiple Python versions was considered.</w:t>
      </w:r>
    </w:p>
    <w:p>
      <w:pPr>
        <w:pStyle w:val="BodyText"/>
      </w:pPr>
      <w:r>
        <w:t xml:space="preserve">It was not selected because the current product does not require a multi-version compatibility contract.</w:t>
      </w:r>
    </w:p>
    <w:bookmarkEnd w:id="41"/>
    <w:bookmarkStart w:id="42" w:name="consequences-2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15"/>
        </w:numPr>
      </w:pPr>
      <w:r>
        <w:t xml:space="preserve">consistent runtime</w:t>
      </w:r>
    </w:p>
    <w:p>
      <w:pPr>
        <w:pStyle w:val="Compact"/>
        <w:numPr>
          <w:ilvl w:val="0"/>
          <w:numId w:val="1015"/>
        </w:numPr>
      </w:pPr>
      <w:r>
        <w:t xml:space="preserve">simpler CI</w:t>
      </w:r>
    </w:p>
    <w:p>
      <w:pPr>
        <w:pStyle w:val="Compact"/>
        <w:numPr>
          <w:ilvl w:val="0"/>
          <w:numId w:val="1015"/>
        </w:numPr>
      </w:pPr>
      <w:r>
        <w:t xml:space="preserve">simpler dependency validation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16"/>
        </w:numPr>
      </w:pPr>
      <w:r>
        <w:t xml:space="preserve">consumers require Python 3.13</w:t>
      </w:r>
    </w:p>
    <w:p>
      <w:pPr>
        <w:pStyle w:val="Compact"/>
        <w:numPr>
          <w:ilvl w:val="0"/>
          <w:numId w:val="1016"/>
        </w:numPr>
      </w:pPr>
      <w:r>
        <w:t xml:space="preserve">runtime upgrades require an explicit project decision</w:t>
      </w:r>
    </w:p>
    <w:bookmarkEnd w:id="42"/>
    <w:bookmarkStart w:id="43" w:name="impact-2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17"/>
        </w:numPr>
      </w:pPr>
      <w:r>
        <w:t xml:space="preserve">Technology</w:t>
      </w:r>
    </w:p>
    <w:p>
      <w:pPr>
        <w:pStyle w:val="Compact"/>
        <w:numPr>
          <w:ilvl w:val="0"/>
          <w:numId w:val="1017"/>
        </w:numPr>
      </w:pPr>
      <w:r>
        <w:t xml:space="preserve">Development</w:t>
      </w:r>
    </w:p>
    <w:p>
      <w:pPr>
        <w:pStyle w:val="Compact"/>
        <w:numPr>
          <w:ilvl w:val="0"/>
          <w:numId w:val="1017"/>
        </w:numPr>
      </w:pPr>
      <w:r>
        <w:t xml:space="preserve">CI/CD</w:t>
      </w:r>
    </w:p>
    <w:bookmarkEnd w:id="43"/>
    <w:bookmarkStart w:id="44" w:name="related-documents-1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18"/>
        </w:numPr>
      </w:pPr>
      <w:r>
        <w:t xml:space="preserve">Technical_Specifications.md</w:t>
      </w:r>
    </w:p>
    <w:p>
      <w:pPr>
        <w:pStyle w:val="Compact"/>
        <w:numPr>
          <w:ilvl w:val="0"/>
          <w:numId w:val="1018"/>
        </w:numPr>
      </w:pPr>
      <w:r>
        <w:t xml:space="preserve">Coding_Standards.md</w:t>
      </w:r>
    </w:p>
    <w:p>
      <w:pPr>
        <w:pStyle w:val="Compact"/>
        <w:numPr>
          <w:ilvl w:val="0"/>
          <w:numId w:val="1018"/>
        </w:numPr>
      </w:pPr>
      <w:r>
        <w:t xml:space="preserve">CI_CD.md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dec-0003-ruff-as-formatter-and-linter"/>
    <w:p>
      <w:pPr>
        <w:pStyle w:val="Heading2"/>
      </w:pPr>
      <w:r>
        <w:t xml:space="preserve">DEC-0003: Ruff as Formatter and Linter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46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project requires consistent source formatting and static source quality validation.</w:t>
      </w:r>
    </w:p>
    <w:bookmarkEnd w:id="46"/>
    <w:bookmarkStart w:id="47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Ruff shall be used for linting and formatting verification.</w:t>
      </w:r>
    </w:p>
    <w:p>
      <w:pPr>
        <w:pStyle w:val="BodyText"/>
      </w:pPr>
      <w:r>
        <w:t xml:space="preserve">Required checks include:</w:t>
      </w:r>
    </w:p>
    <w:p>
      <w:pPr>
        <w:pStyle w:val="SourceCode"/>
      </w:pPr>
      <w:r>
        <w:rPr>
          <w:rStyle w:val="VerbatimChar"/>
        </w:rPr>
        <w:t xml:space="preserve">ruff check .</w:t>
      </w:r>
      <w:r>
        <w:br/>
      </w:r>
      <w:r>
        <w:rPr>
          <w:rStyle w:val="VerbatimChar"/>
        </w:rPr>
        <w:t xml:space="preserve">ruff format --check .</w:t>
      </w:r>
    </w:p>
    <w:bookmarkEnd w:id="47"/>
    <w:bookmarkStart w:id="48" w:name="rationale-3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Using one source quality tool reduces tooling complexity and keeps local development and CI verification aligned.</w:t>
      </w:r>
    </w:p>
    <w:bookmarkEnd w:id="48"/>
    <w:bookmarkStart w:id="49" w:name="alternatives-considered-3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Separate linting and formatting toolchains were considered.</w:t>
      </w:r>
    </w:p>
    <w:p>
      <w:pPr>
        <w:pStyle w:val="BodyText"/>
      </w:pPr>
      <w:r>
        <w:t xml:space="preserve">They were not selected because the current project does not require separate tools.</w:t>
      </w:r>
    </w:p>
    <w:bookmarkEnd w:id="49"/>
    <w:bookmarkStart w:id="50" w:name="consequences-3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19"/>
        </w:numPr>
      </w:pPr>
      <w:r>
        <w:t xml:space="preserve">consistent source quality workflow</w:t>
      </w:r>
    </w:p>
    <w:p>
      <w:pPr>
        <w:pStyle w:val="Compact"/>
        <w:numPr>
          <w:ilvl w:val="0"/>
          <w:numId w:val="1019"/>
        </w:numPr>
      </w:pPr>
      <w:r>
        <w:t xml:space="preserve">reduced tooling complexity</w:t>
      </w:r>
    </w:p>
    <w:p>
      <w:pPr>
        <w:pStyle w:val="Compact"/>
        <w:numPr>
          <w:ilvl w:val="0"/>
          <w:numId w:val="1019"/>
        </w:numPr>
      </w:pPr>
      <w:r>
        <w:t xml:space="preserve">fast local verification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20"/>
        </w:numPr>
      </w:pPr>
      <w:r>
        <w:t xml:space="preserve">project formatting behaviour depends on Ruff</w:t>
      </w:r>
    </w:p>
    <w:p>
      <w:pPr>
        <w:pStyle w:val="Compact"/>
        <w:numPr>
          <w:ilvl w:val="0"/>
          <w:numId w:val="1020"/>
        </w:numPr>
      </w:pPr>
      <w:r>
        <w:t xml:space="preserve">Ruff configuration changes may affect broad source areas</w:t>
      </w:r>
    </w:p>
    <w:bookmarkEnd w:id="50"/>
    <w:bookmarkStart w:id="51" w:name="impact-3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21"/>
        </w:numPr>
      </w:pPr>
      <w:r>
        <w:t xml:space="preserve">Technology</w:t>
      </w:r>
    </w:p>
    <w:p>
      <w:pPr>
        <w:pStyle w:val="Compact"/>
        <w:numPr>
          <w:ilvl w:val="0"/>
          <w:numId w:val="1021"/>
        </w:numPr>
      </w:pPr>
      <w:r>
        <w:t xml:space="preserve">Development Workflow</w:t>
      </w:r>
    </w:p>
    <w:p>
      <w:pPr>
        <w:pStyle w:val="Compact"/>
        <w:numPr>
          <w:ilvl w:val="0"/>
          <w:numId w:val="1021"/>
        </w:numPr>
      </w:pPr>
      <w:r>
        <w:t xml:space="preserve">CI/CD</w:t>
      </w:r>
    </w:p>
    <w:bookmarkEnd w:id="51"/>
    <w:bookmarkStart w:id="52" w:name="related-documents-2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22"/>
        </w:numPr>
      </w:pPr>
      <w:r>
        <w:t xml:space="preserve">Coding_Standards.md</w:t>
      </w:r>
    </w:p>
    <w:p>
      <w:pPr>
        <w:pStyle w:val="Compact"/>
        <w:numPr>
          <w:ilvl w:val="0"/>
          <w:numId w:val="1022"/>
        </w:numPr>
      </w:pPr>
      <w:r>
        <w:t xml:space="preserve">Development_Guidelines.md</w:t>
      </w:r>
    </w:p>
    <w:p>
      <w:pPr>
        <w:pStyle w:val="Compact"/>
        <w:numPr>
          <w:ilvl w:val="0"/>
          <w:numId w:val="1022"/>
        </w:numPr>
      </w:pPr>
      <w:r>
        <w:t xml:space="preserve">CI_CD.md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dec-0004-github-actions-for-ci"/>
    <w:p>
      <w:pPr>
        <w:pStyle w:val="Heading2"/>
      </w:pPr>
      <w:r>
        <w:t xml:space="preserve">DEC-0004: GitHub Actions for CI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54" w:name="context-4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repository requires automated quality gates for integration changes.</w:t>
      </w:r>
    </w:p>
    <w:bookmarkEnd w:id="54"/>
    <w:bookmarkStart w:id="55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GitHub Actions shall provide the project CI workflow.</w:t>
      </w:r>
    </w:p>
    <w:p>
      <w:pPr>
        <w:pStyle w:val="BodyText"/>
      </w:pPr>
      <w:r>
        <w:t xml:space="preserve">Only implemented and configured quality gates shall be described as actively enforced.</w:t>
      </w:r>
    </w:p>
    <w:bookmarkEnd w:id="55"/>
    <w:bookmarkStart w:id="56" w:name="rationale-4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GitHub Actions integrates directly with the repository workflow and supports automated source, test and documentation validation.</w:t>
      </w:r>
    </w:p>
    <w:bookmarkEnd w:id="56"/>
    <w:bookmarkStart w:id="57" w:name="alternatives-considered-4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External CI platforms were considered.</w:t>
      </w:r>
    </w:p>
    <w:p>
      <w:pPr>
        <w:pStyle w:val="BodyText"/>
      </w:pPr>
      <w:r>
        <w:t xml:space="preserve">They were not selected because no concrete project requirement requires an additional CI platform.</w:t>
      </w:r>
    </w:p>
    <w:bookmarkEnd w:id="57"/>
    <w:bookmarkStart w:id="58" w:name="consequences-4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23"/>
        </w:numPr>
      </w:pPr>
      <w:r>
        <w:t xml:space="preserve">repository-integrated CI</w:t>
      </w:r>
    </w:p>
    <w:p>
      <w:pPr>
        <w:pStyle w:val="Compact"/>
        <w:numPr>
          <w:ilvl w:val="0"/>
          <w:numId w:val="1023"/>
        </w:numPr>
      </w:pPr>
      <w:r>
        <w:t xml:space="preserve">automated quality gates</w:t>
      </w:r>
    </w:p>
    <w:p>
      <w:pPr>
        <w:pStyle w:val="Compact"/>
        <w:numPr>
          <w:ilvl w:val="0"/>
          <w:numId w:val="1023"/>
        </w:numPr>
      </w:pPr>
      <w:r>
        <w:t xml:space="preserve">visible workflow results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24"/>
        </w:numPr>
      </w:pPr>
      <w:r>
        <w:t xml:space="preserve">CI configuration depends on GitHub Actions</w:t>
      </w:r>
    </w:p>
    <w:p>
      <w:pPr>
        <w:pStyle w:val="Compact"/>
        <w:numPr>
          <w:ilvl w:val="0"/>
          <w:numId w:val="1024"/>
        </w:numPr>
      </w:pPr>
      <w:r>
        <w:t xml:space="preserve">provider workflow changes may require CI maintenance</w:t>
      </w:r>
    </w:p>
    <w:bookmarkEnd w:id="58"/>
    <w:bookmarkStart w:id="59" w:name="impact-4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25"/>
        </w:numPr>
      </w:pPr>
      <w:r>
        <w:t xml:space="preserve">Technology</w:t>
      </w:r>
    </w:p>
    <w:p>
      <w:pPr>
        <w:pStyle w:val="Compact"/>
        <w:numPr>
          <w:ilvl w:val="0"/>
          <w:numId w:val="1025"/>
        </w:numPr>
      </w:pPr>
      <w:r>
        <w:t xml:space="preserve">CI/CD</w:t>
      </w:r>
    </w:p>
    <w:p>
      <w:pPr>
        <w:pStyle w:val="Compact"/>
        <w:numPr>
          <w:ilvl w:val="0"/>
          <w:numId w:val="1025"/>
        </w:numPr>
      </w:pPr>
      <w:r>
        <w:t xml:space="preserve">Development Workflow</w:t>
      </w:r>
    </w:p>
    <w:bookmarkEnd w:id="59"/>
    <w:bookmarkStart w:id="60" w:name="related-documents-3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26"/>
        </w:numPr>
      </w:pPr>
      <w:r>
        <w:t xml:space="preserve">CI_CD.md</w:t>
      </w:r>
    </w:p>
    <w:p>
      <w:pPr>
        <w:pStyle w:val="Compact"/>
        <w:numPr>
          <w:ilvl w:val="0"/>
          <w:numId w:val="1026"/>
        </w:numPr>
      </w:pPr>
      <w:r>
        <w:t xml:space="preserve">Git_Workflow.md</w:t>
      </w:r>
    </w:p>
    <w:p>
      <w:pPr>
        <w:pStyle w:val="Compact"/>
        <w:numPr>
          <w:ilvl w:val="0"/>
          <w:numId w:val="1026"/>
        </w:numPr>
      </w:pPr>
      <w:r>
        <w:t xml:space="preserve">Development_Guidelines.md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c5290e098087ba061159604bc6f9d46e5445057"/>
    <w:p>
      <w:pPr>
        <w:pStyle w:val="Heading2"/>
      </w:pPr>
      <w:r>
        <w:t xml:space="preserve">DEC-0005: Markdown as Documentation Source of Truth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62" w:name="context-5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project generates DOCX and PDF documentation from Markdown.</w:t>
      </w:r>
    </w:p>
    <w:p>
      <w:pPr>
        <w:pStyle w:val="BodyText"/>
      </w:pPr>
      <w:r>
        <w:t xml:space="preserve">Maintaining multiple editable documentation formats would create synchronization risk.</w:t>
      </w:r>
    </w:p>
    <w:bookmarkEnd w:id="62"/>
    <w:bookmarkStart w:id="63" w:name="decision-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Markdown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shall be the documentation source of truth.</w:t>
      </w:r>
    </w:p>
    <w:p>
      <w:pPr>
        <w:pStyle w:val="BodyText"/>
      </w:pPr>
      <w:r>
        <w:t xml:space="preserve">Generated DOCX and PDF files are derived artifacts and shall not be edited manually.</w:t>
      </w:r>
    </w:p>
    <w:bookmarkEnd w:id="63"/>
    <w:bookmarkStart w:id="64" w:name="rationale-5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One editable documentation source reduces inconsistency and supports automated generation.</w:t>
      </w:r>
    </w:p>
    <w:bookmarkEnd w:id="64"/>
    <w:bookmarkStart w:id="65" w:name="alternatives-considered-5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Maintaining Markdown, DOCX and PDF as independent editable sources was considered.</w:t>
      </w:r>
    </w:p>
    <w:p>
      <w:pPr>
        <w:pStyle w:val="BodyText"/>
      </w:pPr>
      <w:r>
        <w:t xml:space="preserve">It was not selected because synchronization would be manual and error-prone.</w:t>
      </w:r>
    </w:p>
    <w:bookmarkEnd w:id="65"/>
    <w:bookmarkStart w:id="66" w:name="consequences-5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27"/>
        </w:numPr>
      </w:pPr>
      <w:r>
        <w:t xml:space="preserve">one documentation source</w:t>
      </w:r>
    </w:p>
    <w:p>
      <w:pPr>
        <w:pStyle w:val="Compact"/>
        <w:numPr>
          <w:ilvl w:val="0"/>
          <w:numId w:val="1027"/>
        </w:numPr>
      </w:pPr>
      <w:r>
        <w:t xml:space="preserve">deterministic generation workflow</w:t>
      </w:r>
    </w:p>
    <w:p>
      <w:pPr>
        <w:pStyle w:val="Compact"/>
        <w:numPr>
          <w:ilvl w:val="0"/>
          <w:numId w:val="1027"/>
        </w:numPr>
      </w:pPr>
      <w:r>
        <w:t xml:space="preserve">simpler review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28"/>
        </w:numPr>
      </w:pPr>
      <w:r>
        <w:t xml:space="preserve">documentation generation tooling becomes part of the workflow</w:t>
      </w:r>
    </w:p>
    <w:p>
      <w:pPr>
        <w:pStyle w:val="Compact"/>
        <w:numPr>
          <w:ilvl w:val="0"/>
          <w:numId w:val="1028"/>
        </w:numPr>
      </w:pPr>
      <w:r>
        <w:t xml:space="preserve">generated format corrections must originate from Markdown or generation logic</w:t>
      </w:r>
    </w:p>
    <w:bookmarkEnd w:id="66"/>
    <w:bookmarkStart w:id="67" w:name="impact-5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29"/>
        </w:numPr>
      </w:pPr>
      <w:r>
        <w:t xml:space="preserve">Documentation</w:t>
      </w:r>
    </w:p>
    <w:p>
      <w:pPr>
        <w:pStyle w:val="Compact"/>
        <w:numPr>
          <w:ilvl w:val="0"/>
          <w:numId w:val="1029"/>
        </w:numPr>
      </w:pPr>
      <w:r>
        <w:t xml:space="preserve">Development Workflow</w:t>
      </w:r>
    </w:p>
    <w:p>
      <w:pPr>
        <w:pStyle w:val="Compact"/>
        <w:numPr>
          <w:ilvl w:val="0"/>
          <w:numId w:val="1029"/>
        </w:numPr>
      </w:pPr>
      <w:r>
        <w:t xml:space="preserve">CI/CD</w:t>
      </w:r>
    </w:p>
    <w:bookmarkEnd w:id="67"/>
    <w:bookmarkStart w:id="68" w:name="related-documents-4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30"/>
        </w:numPr>
      </w:pPr>
      <w:r>
        <w:t xml:space="preserve">Development_Guidelines.md</w:t>
      </w:r>
    </w:p>
    <w:p>
      <w:pPr>
        <w:pStyle w:val="Compact"/>
        <w:numPr>
          <w:ilvl w:val="0"/>
          <w:numId w:val="1030"/>
        </w:numPr>
      </w:pPr>
      <w:r>
        <w:t xml:space="preserve">Git_Workflow.md</w:t>
      </w:r>
    </w:p>
    <w:p>
      <w:pPr>
        <w:pStyle w:val="Compact"/>
        <w:numPr>
          <w:ilvl w:val="0"/>
          <w:numId w:val="1030"/>
        </w:numPr>
      </w:pPr>
      <w:r>
        <w:t xml:space="preserve">CI_CD.md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2ca434b7f74a40c1e90e159caf4fe0ee092a616"/>
    <w:p>
      <w:pPr>
        <w:pStyle w:val="Heading2"/>
      </w:pPr>
      <w:r>
        <w:t xml:space="preserve">DEC-0006: Documentation Generation Before Commit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70" w:name="context-6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Documentation changes can break generation or create inconsistent derived artifacts.</w:t>
      </w:r>
    </w:p>
    <w:p>
      <w:pPr>
        <w:pStyle w:val="BodyText"/>
      </w:pPr>
      <w:r>
        <w:t xml:space="preserve">The previous development workflow did not consistently place documentation generation before commit.</w:t>
      </w:r>
    </w:p>
    <w:bookmarkEnd w:id="70"/>
    <w:bookmarkStart w:id="71" w:name="decision-6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When Markdown documentation changes, the documentation generation command shall complete successfully before commit:</w:t>
      </w:r>
    </w:p>
    <w:p>
      <w:pPr>
        <w:pStyle w:val="SourceCode"/>
      </w:pPr>
      <w:r>
        <w:rPr>
          <w:rStyle w:val="VerbatimChar"/>
        </w:rPr>
        <w:t xml:space="preserve">python scripts/generate_docs.py</w:t>
      </w:r>
    </w:p>
    <w:bookmarkEnd w:id="71"/>
    <w:bookmarkStart w:id="72" w:name="rationale-6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Generation before commit detects documentation generation failures before repository integration.</w:t>
      </w:r>
    </w:p>
    <w:bookmarkEnd w:id="72"/>
    <w:bookmarkStart w:id="73" w:name="alternatives-considered-6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Generating documentation only after push or only in CI was considered.</w:t>
      </w:r>
    </w:p>
    <w:p>
      <w:pPr>
        <w:pStyle w:val="BodyText"/>
      </w:pPr>
      <w:r>
        <w:t xml:space="preserve">It was not selected because local verification should detect generation failures before commit.</w:t>
      </w:r>
    </w:p>
    <w:bookmarkEnd w:id="73"/>
    <w:bookmarkStart w:id="74" w:name="consequences-6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31"/>
        </w:numPr>
      </w:pPr>
      <w:r>
        <w:t xml:space="preserve">earlier failure detection</w:t>
      </w:r>
    </w:p>
    <w:p>
      <w:pPr>
        <w:pStyle w:val="Compact"/>
        <w:numPr>
          <w:ilvl w:val="0"/>
          <w:numId w:val="1031"/>
        </w:numPr>
      </w:pPr>
      <w:r>
        <w:t xml:space="preserve">synchronized documentation workflow</w:t>
      </w:r>
    </w:p>
    <w:p>
      <w:pPr>
        <w:pStyle w:val="Compact"/>
        <w:numPr>
          <w:ilvl w:val="0"/>
          <w:numId w:val="1031"/>
        </w:numPr>
      </w:pPr>
      <w:r>
        <w:t xml:space="preserve">clearer Definition of Done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32"/>
        </w:numPr>
      </w:pPr>
      <w:r>
        <w:t xml:space="preserve">documentation changes require an additional local verification step</w:t>
      </w:r>
    </w:p>
    <w:bookmarkEnd w:id="74"/>
    <w:bookmarkStart w:id="75" w:name="impact-6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33"/>
        </w:numPr>
      </w:pPr>
      <w:r>
        <w:t xml:space="preserve">Documentation</w:t>
      </w:r>
    </w:p>
    <w:p>
      <w:pPr>
        <w:pStyle w:val="Compact"/>
        <w:numPr>
          <w:ilvl w:val="0"/>
          <w:numId w:val="1033"/>
        </w:numPr>
      </w:pPr>
      <w:r>
        <w:t xml:space="preserve">Development Workflow</w:t>
      </w:r>
    </w:p>
    <w:p>
      <w:pPr>
        <w:pStyle w:val="Compact"/>
        <w:numPr>
          <w:ilvl w:val="0"/>
          <w:numId w:val="1033"/>
        </w:numPr>
      </w:pPr>
      <w:r>
        <w:t xml:space="preserve">CI/CD</w:t>
      </w:r>
    </w:p>
    <w:bookmarkEnd w:id="75"/>
    <w:bookmarkStart w:id="76" w:name="related-documents-5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34"/>
        </w:numPr>
      </w:pPr>
      <w:r>
        <w:t xml:space="preserve">Development_Guidelines.md</w:t>
      </w:r>
    </w:p>
    <w:p>
      <w:pPr>
        <w:pStyle w:val="Compact"/>
        <w:numPr>
          <w:ilvl w:val="0"/>
          <w:numId w:val="1034"/>
        </w:numPr>
      </w:pPr>
      <w:r>
        <w:t xml:space="preserve">Git_Workflow.md</w:t>
      </w:r>
    </w:p>
    <w:p>
      <w:pPr>
        <w:pStyle w:val="Compact"/>
        <w:numPr>
          <w:ilvl w:val="0"/>
          <w:numId w:val="1034"/>
        </w:numPr>
      </w:pPr>
      <w:r>
        <w:t xml:space="preserve">Testing_Strategy.md</w:t>
      </w:r>
    </w:p>
    <w:p>
      <w:pPr>
        <w:pStyle w:val="Compact"/>
        <w:numPr>
          <w:ilvl w:val="0"/>
          <w:numId w:val="1034"/>
        </w:numPr>
      </w:pPr>
      <w:r>
        <w:t xml:space="preserve">CI_CD.md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dec-0007-dedicated-development-branches"/>
    <w:p>
      <w:pPr>
        <w:pStyle w:val="Heading2"/>
      </w:pPr>
      <w:r>
        <w:t xml:space="preserve">DEC-0007: Dedicated Development Branches</w:t>
      </w:r>
    </w:p>
    <w:p>
      <w:pPr>
        <w:pStyle w:val="FirstParagraph"/>
      </w:pPr>
      <w:r>
        <w:t xml:space="preserve">Date: 2026-07-01</w:t>
      </w:r>
      <w:r>
        <w:t xml:space="preserve"> </w:t>
      </w:r>
      <w:r>
        <w:t xml:space="preserve">Status: Accepted</w:t>
      </w:r>
    </w:p>
    <w:bookmarkStart w:id="78" w:name="context-7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previous Git workflow contained inconsistent language about optional feature branches and direct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The project requires one clear normal development workflow.</w:t>
      </w:r>
    </w:p>
    <w:bookmarkEnd w:id="78"/>
    <w:bookmarkStart w:id="79" w:name="decision-7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Normal development shall use dedicated branches.</w:t>
      </w:r>
    </w:p>
    <w:p>
      <w:pPr>
        <w:pStyle w:val="BodyText"/>
      </w:pPr>
      <w:r>
        <w:t xml:space="preserve">Direct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are not part of the normal development workflow.</w:t>
      </w:r>
    </w:p>
    <w:bookmarkEnd w:id="79"/>
    <w:bookmarkStart w:id="80" w:name="rationale-7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Dedicated branches support:</w:t>
      </w:r>
    </w:p>
    <w:p>
      <w:pPr>
        <w:pStyle w:val="Compact"/>
        <w:numPr>
          <w:ilvl w:val="0"/>
          <w:numId w:val="1035"/>
        </w:numPr>
      </w:pPr>
      <w:r>
        <w:t xml:space="preserve">review</w:t>
      </w:r>
    </w:p>
    <w:p>
      <w:pPr>
        <w:pStyle w:val="Compact"/>
        <w:numPr>
          <w:ilvl w:val="0"/>
          <w:numId w:val="1035"/>
        </w:numPr>
      </w:pPr>
      <w:r>
        <w:t xml:space="preserve">CI validation</w:t>
      </w:r>
    </w:p>
    <w:p>
      <w:pPr>
        <w:pStyle w:val="Compact"/>
        <w:numPr>
          <w:ilvl w:val="0"/>
          <w:numId w:val="1035"/>
        </w:numPr>
      </w:pPr>
      <w:r>
        <w:t xml:space="preserve">coherent change scope</w:t>
      </w:r>
    </w:p>
    <w:p>
      <w:pPr>
        <w:pStyle w:val="Compact"/>
        <w:numPr>
          <w:ilvl w:val="0"/>
          <w:numId w:val="1035"/>
        </w:numPr>
      </w:pPr>
      <w:r>
        <w:t xml:space="preserve">safer repository integration</w:t>
      </w:r>
    </w:p>
    <w:bookmarkEnd w:id="80"/>
    <w:bookmarkStart w:id="81" w:name="alternatives-considered-7"/>
    <w:p>
      <w:pPr>
        <w:pStyle w:val="Heading3"/>
      </w:pPr>
      <w:r>
        <w:t xml:space="preserve">Alternatives Considered</w:t>
      </w:r>
    </w:p>
    <w:p>
      <w:pPr>
        <w:pStyle w:val="FirstParagraph"/>
      </w:pPr>
      <w:r>
        <w:t xml:space="preserve">Direct development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was considered.</w:t>
      </w:r>
    </w:p>
    <w:p>
      <w:pPr>
        <w:pStyle w:val="BodyText"/>
      </w:pPr>
      <w:r>
        <w:t xml:space="preserve">It was not selected as the normal workflow because it reduces review and integration control.</w:t>
      </w:r>
    </w:p>
    <w:bookmarkEnd w:id="81"/>
    <w:bookmarkStart w:id="82" w:name="consequences-7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Positive:</w:t>
      </w:r>
    </w:p>
    <w:p>
      <w:pPr>
        <w:pStyle w:val="Compact"/>
        <w:numPr>
          <w:ilvl w:val="0"/>
          <w:numId w:val="1036"/>
        </w:numPr>
      </w:pPr>
      <w:r>
        <w:t xml:space="preserve">clearer integration workflow</w:t>
      </w:r>
    </w:p>
    <w:p>
      <w:pPr>
        <w:pStyle w:val="Compact"/>
        <w:numPr>
          <w:ilvl w:val="0"/>
          <w:numId w:val="1036"/>
        </w:numPr>
      </w:pPr>
      <w:r>
        <w:t xml:space="preserve">stronger review boundary</w:t>
      </w:r>
    </w:p>
    <w:p>
      <w:pPr>
        <w:pStyle w:val="Compact"/>
        <w:numPr>
          <w:ilvl w:val="0"/>
          <w:numId w:val="1036"/>
        </w:numPr>
      </w:pPr>
      <w:r>
        <w:t xml:space="preserve">better CI alignment</w:t>
      </w:r>
    </w:p>
    <w:p>
      <w:pPr>
        <w:pStyle w:val="FirstParagraph"/>
      </w:pPr>
      <w:r>
        <w:t xml:space="preserve">Negative:</w:t>
      </w:r>
    </w:p>
    <w:p>
      <w:pPr>
        <w:pStyle w:val="Compact"/>
        <w:numPr>
          <w:ilvl w:val="0"/>
          <w:numId w:val="1037"/>
        </w:numPr>
      </w:pPr>
      <w:r>
        <w:t xml:space="preserve">branch management is required for routine development</w:t>
      </w:r>
    </w:p>
    <w:bookmarkEnd w:id="82"/>
    <w:bookmarkStart w:id="83" w:name="impact-7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38"/>
        </w:numPr>
      </w:pPr>
      <w:r>
        <w:t xml:space="preserve">Development Workflow</w:t>
      </w:r>
    </w:p>
    <w:p>
      <w:pPr>
        <w:pStyle w:val="Compact"/>
        <w:numPr>
          <w:ilvl w:val="0"/>
          <w:numId w:val="1038"/>
        </w:numPr>
      </w:pPr>
      <w:r>
        <w:t xml:space="preserve">Repository Policy</w:t>
      </w:r>
    </w:p>
    <w:p>
      <w:pPr>
        <w:pStyle w:val="Compact"/>
        <w:numPr>
          <w:ilvl w:val="0"/>
          <w:numId w:val="1038"/>
        </w:numPr>
      </w:pPr>
      <w:r>
        <w:t xml:space="preserve">CI/CD</w:t>
      </w:r>
    </w:p>
    <w:bookmarkEnd w:id="83"/>
    <w:bookmarkStart w:id="84" w:name="related-documents-6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39"/>
        </w:numPr>
      </w:pPr>
      <w:r>
        <w:t xml:space="preserve">Git_Workflow.md</w:t>
      </w:r>
    </w:p>
    <w:p>
      <w:pPr>
        <w:pStyle w:val="Compact"/>
        <w:numPr>
          <w:ilvl w:val="0"/>
          <w:numId w:val="1039"/>
        </w:numPr>
      </w:pPr>
      <w:r>
        <w:t xml:space="preserve">Development_Guidelines.md</w:t>
      </w:r>
    </w:p>
    <w:p>
      <w:pPr>
        <w:pStyle w:val="Compact"/>
        <w:numPr>
          <w:ilvl w:val="0"/>
          <w:numId w:val="1039"/>
        </w:numPr>
      </w:pPr>
      <w:r>
        <w:t xml:space="preserve">CI_CD.md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maintenance"/>
    <w:p>
      <w:pPr>
        <w:pStyle w:val="Heading1"/>
      </w:pPr>
      <w:r>
        <w:t xml:space="preserve">Maintenance</w:t>
      </w:r>
    </w:p>
    <w:p>
      <w:pPr>
        <w:pStyle w:val="FirstParagraph"/>
      </w:pPr>
      <w:r>
        <w:t xml:space="preserve">Update the Decision Log when:</w:t>
      </w:r>
    </w:p>
    <w:p>
      <w:pPr>
        <w:pStyle w:val="Compact"/>
        <w:numPr>
          <w:ilvl w:val="0"/>
          <w:numId w:val="1040"/>
        </w:numPr>
      </w:pPr>
      <w:r>
        <w:t xml:space="preserve">a significant product direction changes</w:t>
      </w:r>
    </w:p>
    <w:p>
      <w:pPr>
        <w:pStyle w:val="Compact"/>
        <w:numPr>
          <w:ilvl w:val="0"/>
          <w:numId w:val="1040"/>
        </w:numPr>
      </w:pPr>
      <w:r>
        <w:t xml:space="preserve">a significant technology choice changes</w:t>
      </w:r>
    </w:p>
    <w:p>
      <w:pPr>
        <w:pStyle w:val="Compact"/>
        <w:numPr>
          <w:ilvl w:val="0"/>
          <w:numId w:val="1040"/>
        </w:numPr>
      </w:pPr>
      <w:r>
        <w:t xml:space="preserve">a development-process policy changes</w:t>
      </w:r>
    </w:p>
    <w:p>
      <w:pPr>
        <w:pStyle w:val="Compact"/>
        <w:numPr>
          <w:ilvl w:val="0"/>
          <w:numId w:val="1040"/>
        </w:numPr>
      </w:pPr>
      <w:r>
        <w:t xml:space="preserve">a repository policy changes</w:t>
      </w:r>
    </w:p>
    <w:p>
      <w:pPr>
        <w:pStyle w:val="Compact"/>
        <w:numPr>
          <w:ilvl w:val="0"/>
          <w:numId w:val="1040"/>
        </w:numPr>
      </w:pPr>
      <w:r>
        <w:t xml:space="preserve">an accepted Decision Log entry becomes obsolete</w:t>
      </w:r>
    </w:p>
    <w:p>
      <w:pPr>
        <w:pStyle w:val="Compact"/>
        <w:numPr>
          <w:ilvl w:val="0"/>
          <w:numId w:val="1040"/>
        </w:numPr>
      </w:pPr>
      <w:r>
        <w:t xml:space="preserve">an architecture ADR should be discoverable from the central index</w:t>
      </w:r>
    </w:p>
    <w:p>
      <w:pPr>
        <w:pStyle w:val="FirstParagraph"/>
      </w:pPr>
      <w:r>
        <w:t xml:space="preserve">Minor implementation details shall not be recorded here.</w:t>
      </w:r>
    </w:p>
    <w:p>
      <w:r>
        <w:pict>
          <v:rect style="width:0;height:1.5pt" o:hralign="center" o:hrstd="t" o:hr="t"/>
        </w:pict>
      </w:r>
    </w:p>
    <w:bookmarkEnd w:id="87"/>
    <w:bookmarkStart w:id="88" w:name="decision-governance"/>
    <w:p>
      <w:pPr>
        <w:pStyle w:val="Heading1"/>
      </w:pPr>
      <w:r>
        <w:t xml:space="preserve">Decision Governance</w:t>
      </w:r>
    </w:p>
    <w:p>
      <w:pPr>
        <w:pStyle w:val="FirstParagraph"/>
      </w:pPr>
      <w:r>
        <w:t xml:space="preserve">Before creating a Decision Log entry:</w:t>
      </w:r>
    </w:p>
    <w:p>
      <w:pPr>
        <w:pStyle w:val="Compact"/>
        <w:numPr>
          <w:ilvl w:val="0"/>
          <w:numId w:val="1041"/>
        </w:numPr>
      </w:pPr>
      <w:r>
        <w:t xml:space="preserve">Identify the concrete requirement.</w:t>
      </w:r>
    </w:p>
    <w:p>
      <w:pPr>
        <w:pStyle w:val="Compact"/>
        <w:numPr>
          <w:ilvl w:val="0"/>
          <w:numId w:val="1041"/>
        </w:numPr>
      </w:pPr>
      <w:r>
        <w:t xml:space="preserve">Determine whether the decision is architecture-significant.</w:t>
      </w:r>
    </w:p>
    <w:p>
      <w:pPr>
        <w:pStyle w:val="Compact"/>
        <w:numPr>
          <w:ilvl w:val="0"/>
          <w:numId w:val="1041"/>
        </w:numPr>
      </w:pPr>
      <w:r>
        <w:t xml:space="preserve">If architecture-significant, use an ADR.</w:t>
      </w:r>
    </w:p>
    <w:p>
      <w:pPr>
        <w:pStyle w:val="Compact"/>
        <w:numPr>
          <w:ilvl w:val="0"/>
          <w:numId w:val="1041"/>
        </w:numPr>
      </w:pPr>
      <w:r>
        <w:t xml:space="preserve">Identify real affected consumers.</w:t>
      </w:r>
    </w:p>
    <w:p>
      <w:pPr>
        <w:pStyle w:val="Compact"/>
        <w:numPr>
          <w:ilvl w:val="0"/>
          <w:numId w:val="1041"/>
        </w:numPr>
      </w:pPr>
      <w:r>
        <w:t xml:space="preserve">Evaluate materially relevant alternatives.</w:t>
      </w:r>
    </w:p>
    <w:p>
      <w:pPr>
        <w:pStyle w:val="Compact"/>
        <w:numPr>
          <w:ilvl w:val="0"/>
          <w:numId w:val="1041"/>
        </w:numPr>
      </w:pPr>
      <w:r>
        <w:t xml:space="preserve">Evaluate consequences.</w:t>
      </w:r>
    </w:p>
    <w:p>
      <w:pPr>
        <w:pStyle w:val="Compact"/>
        <w:numPr>
          <w:ilvl w:val="0"/>
          <w:numId w:val="1041"/>
        </w:numPr>
      </w:pPr>
      <w:r>
        <w:t xml:space="preserve">Draft the decision as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.</w:t>
      </w:r>
    </w:p>
    <w:p>
      <w:pPr>
        <w:pStyle w:val="FirstParagraph"/>
      </w:pPr>
      <w:r>
        <w:t xml:space="preserve">Before accepting a Decision Log entry:</w:t>
      </w:r>
    </w:p>
    <w:p>
      <w:pPr>
        <w:pStyle w:val="Compact"/>
        <w:numPr>
          <w:ilvl w:val="0"/>
          <w:numId w:val="1042"/>
        </w:numPr>
      </w:pPr>
      <w:r>
        <w:t xml:space="preserve">Review the context.</w:t>
      </w:r>
    </w:p>
    <w:p>
      <w:pPr>
        <w:pStyle w:val="Compact"/>
        <w:numPr>
          <w:ilvl w:val="0"/>
          <w:numId w:val="1042"/>
        </w:numPr>
      </w:pPr>
      <w:r>
        <w:t xml:space="preserve">Review the decision.</w:t>
      </w:r>
    </w:p>
    <w:p>
      <w:pPr>
        <w:pStyle w:val="Compact"/>
        <w:numPr>
          <w:ilvl w:val="0"/>
          <w:numId w:val="1042"/>
        </w:numPr>
      </w:pPr>
      <w:r>
        <w:t xml:space="preserve">Review the rationale.</w:t>
      </w:r>
    </w:p>
    <w:p>
      <w:pPr>
        <w:pStyle w:val="Compact"/>
        <w:numPr>
          <w:ilvl w:val="0"/>
          <w:numId w:val="1042"/>
        </w:numPr>
      </w:pPr>
      <w:r>
        <w:t xml:space="preserve">Review alternatives.</w:t>
      </w:r>
    </w:p>
    <w:p>
      <w:pPr>
        <w:pStyle w:val="Compact"/>
        <w:numPr>
          <w:ilvl w:val="0"/>
          <w:numId w:val="1042"/>
        </w:numPr>
      </w:pPr>
      <w:r>
        <w:t xml:space="preserve">Review consequences.</w:t>
      </w:r>
    </w:p>
    <w:p>
      <w:pPr>
        <w:pStyle w:val="Compact"/>
        <w:numPr>
          <w:ilvl w:val="0"/>
          <w:numId w:val="1042"/>
        </w:numPr>
      </w:pPr>
      <w:r>
        <w:t xml:space="preserve">Review impact.</w:t>
      </w:r>
    </w:p>
    <w:p>
      <w:pPr>
        <w:pStyle w:val="Compact"/>
        <w:numPr>
          <w:ilvl w:val="0"/>
          <w:numId w:val="1042"/>
        </w:numPr>
      </w:pPr>
      <w:r>
        <w:t xml:space="preserve">Synchronize affected documentation.</w:t>
      </w:r>
    </w:p>
    <w:p>
      <w:pPr>
        <w:pStyle w:val="Compact"/>
        <w:numPr>
          <w:ilvl w:val="0"/>
          <w:numId w:val="1042"/>
        </w:numPr>
      </w:pPr>
      <w:r>
        <w:t xml:space="preserve">Update the Decision Index.</w:t>
      </w:r>
    </w:p>
    <w:p>
      <w:pPr>
        <w:pStyle w:val="Compact"/>
        <w:numPr>
          <w:ilvl w:val="0"/>
          <w:numId w:val="1042"/>
        </w:numPr>
      </w:pPr>
      <w:r>
        <w:t xml:space="preserve">Set status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decision-review-checklist"/>
    <w:p>
      <w:pPr>
        <w:pStyle w:val="Heading1"/>
      </w:pPr>
      <w:r>
        <w:t xml:space="preserve">Decision Review Checklist</w:t>
      </w:r>
    </w:p>
    <w:p>
      <w:pPr>
        <w:pStyle w:val="FirstParagraph"/>
      </w:pPr>
      <w:r>
        <w:t xml:space="preserve">Before accepting a decision verify:</w:t>
      </w:r>
    </w:p>
    <w:p>
      <w:pPr>
        <w:pStyle w:val="Compact"/>
        <w:numPr>
          <w:ilvl w:val="0"/>
          <w:numId w:val="1043"/>
        </w:numPr>
      </w:pPr>
      <w:r>
        <w:t xml:space="preserve">concrete requirement identified</w:t>
      </w:r>
    </w:p>
    <w:p>
      <w:pPr>
        <w:pStyle w:val="Compact"/>
        <w:numPr>
          <w:ilvl w:val="0"/>
          <w:numId w:val="1043"/>
        </w:numPr>
      </w:pPr>
      <w:r>
        <w:t xml:space="preserve">correct decision system selected</w:t>
      </w:r>
    </w:p>
    <w:p>
      <w:pPr>
        <w:pStyle w:val="Compact"/>
        <w:numPr>
          <w:ilvl w:val="0"/>
          <w:numId w:val="1043"/>
        </w:numPr>
      </w:pPr>
      <w:r>
        <w:t xml:space="preserve">architecture decisions use ADRs</w:t>
      </w:r>
    </w:p>
    <w:p>
      <w:pPr>
        <w:pStyle w:val="Compact"/>
        <w:numPr>
          <w:ilvl w:val="0"/>
          <w:numId w:val="1043"/>
        </w:numPr>
      </w:pPr>
      <w:r>
        <w:t xml:space="preserve">product, technology or process decision is significant</w:t>
      </w:r>
    </w:p>
    <w:p>
      <w:pPr>
        <w:pStyle w:val="Compact"/>
        <w:numPr>
          <w:ilvl w:val="0"/>
          <w:numId w:val="1043"/>
        </w:numPr>
      </w:pPr>
      <w:r>
        <w:t xml:space="preserve">real consumers identified</w:t>
      </w:r>
    </w:p>
    <w:p>
      <w:pPr>
        <w:pStyle w:val="Compact"/>
        <w:numPr>
          <w:ilvl w:val="0"/>
          <w:numId w:val="1043"/>
        </w:numPr>
      </w:pPr>
      <w:r>
        <w:t xml:space="preserve">decision explicit</w:t>
      </w:r>
    </w:p>
    <w:p>
      <w:pPr>
        <w:pStyle w:val="Compact"/>
        <w:numPr>
          <w:ilvl w:val="0"/>
          <w:numId w:val="1043"/>
        </w:numPr>
      </w:pPr>
      <w:r>
        <w:t xml:space="preserve">rationale project-specific</w:t>
      </w:r>
    </w:p>
    <w:p>
      <w:pPr>
        <w:pStyle w:val="Compact"/>
        <w:numPr>
          <w:ilvl w:val="0"/>
          <w:numId w:val="1043"/>
        </w:numPr>
      </w:pPr>
      <w:r>
        <w:t xml:space="preserve">realistic alternatives evaluated</w:t>
      </w:r>
    </w:p>
    <w:p>
      <w:pPr>
        <w:pStyle w:val="Compact"/>
        <w:numPr>
          <w:ilvl w:val="0"/>
          <w:numId w:val="1043"/>
        </w:numPr>
      </w:pPr>
      <w:r>
        <w:t xml:space="preserve">positive consequences documented</w:t>
      </w:r>
    </w:p>
    <w:p>
      <w:pPr>
        <w:pStyle w:val="Compact"/>
        <w:numPr>
          <w:ilvl w:val="0"/>
          <w:numId w:val="1043"/>
        </w:numPr>
      </w:pPr>
      <w:r>
        <w:t xml:space="preserve">negative consequences documented</w:t>
      </w:r>
    </w:p>
    <w:p>
      <w:pPr>
        <w:pStyle w:val="Compact"/>
        <w:numPr>
          <w:ilvl w:val="0"/>
          <w:numId w:val="1043"/>
        </w:numPr>
      </w:pPr>
      <w:r>
        <w:t xml:space="preserve">impact identified</w:t>
      </w:r>
    </w:p>
    <w:p>
      <w:pPr>
        <w:pStyle w:val="Compact"/>
        <w:numPr>
          <w:ilvl w:val="0"/>
          <w:numId w:val="1043"/>
        </w:numPr>
      </w:pPr>
      <w:r>
        <w:t xml:space="preserve">affected documentation synchronized</w:t>
      </w:r>
    </w:p>
    <w:p>
      <w:pPr>
        <w:pStyle w:val="Compact"/>
        <w:numPr>
          <w:ilvl w:val="0"/>
          <w:numId w:val="1043"/>
        </w:numPr>
      </w:pPr>
      <w:r>
        <w:t xml:space="preserve">roadmap impact evaluated where relevant</w:t>
      </w:r>
    </w:p>
    <w:p>
      <w:pPr>
        <w:pStyle w:val="Compact"/>
        <w:numPr>
          <w:ilvl w:val="0"/>
          <w:numId w:val="1043"/>
        </w:numPr>
      </w:pPr>
      <w:r>
        <w:t xml:space="preserve">Decision Index updated</w:t>
      </w:r>
    </w:p>
    <w:p>
      <w:pPr>
        <w:pStyle w:val="Compact"/>
        <w:numPr>
          <w:ilvl w:val="0"/>
          <w:numId w:val="1043"/>
        </w:numPr>
      </w:pPr>
      <w:r>
        <w:t xml:space="preserve">documentation generation passed</w:t>
      </w:r>
    </w:p>
    <w:p>
      <w:r>
        <w:pict>
          <v:rect style="width:0;height:1.5pt" o:hralign="center" o:hrstd="t" o:hr="t"/>
        </w:pict>
      </w:r>
    </w:p>
    <w:bookmarkEnd w:id="89"/>
    <w:bookmarkStart w:id="90" w:name="related-documents-7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44"/>
        </w:numPr>
      </w:pPr>
      <w:r>
        <w:t xml:space="preserve">Product_Vision.md</w:t>
      </w:r>
    </w:p>
    <w:p>
      <w:pPr>
        <w:pStyle w:val="Compact"/>
        <w:numPr>
          <w:ilvl w:val="0"/>
          <w:numId w:val="1044"/>
        </w:numPr>
      </w:pPr>
      <w:r>
        <w:t xml:space="preserve">Product_Roadmap.md</w:t>
      </w:r>
    </w:p>
    <w:p>
      <w:pPr>
        <w:pStyle w:val="Compact"/>
        <w:numPr>
          <w:ilvl w:val="0"/>
          <w:numId w:val="1044"/>
        </w:numPr>
      </w:pPr>
      <w:r>
        <w:t xml:space="preserve">Project_Overview.md</w:t>
      </w:r>
    </w:p>
    <w:p>
      <w:pPr>
        <w:pStyle w:val="Compact"/>
        <w:numPr>
          <w:ilvl w:val="0"/>
          <w:numId w:val="1044"/>
        </w:numPr>
      </w:pPr>
      <w:r>
        <w:t xml:space="preserve">Architecture.md</w:t>
      </w:r>
    </w:p>
    <w:p>
      <w:pPr>
        <w:pStyle w:val="Compact"/>
        <w:numPr>
          <w:ilvl w:val="0"/>
          <w:numId w:val="1044"/>
        </w:numPr>
      </w:pPr>
      <w:r>
        <w:t xml:space="preserve">Technical_Specifications.md</w:t>
      </w:r>
    </w:p>
    <w:p>
      <w:pPr>
        <w:pStyle w:val="Compact"/>
        <w:numPr>
          <w:ilvl w:val="0"/>
          <w:numId w:val="1044"/>
        </w:numPr>
      </w:pPr>
      <w:r>
        <w:t xml:space="preserve">Development_Guidelines.md</w:t>
      </w:r>
    </w:p>
    <w:p>
      <w:pPr>
        <w:pStyle w:val="Compact"/>
        <w:numPr>
          <w:ilvl w:val="0"/>
          <w:numId w:val="1044"/>
        </w:numPr>
      </w:pPr>
      <w:r>
        <w:t xml:space="preserve">Git_Workflow.md</w:t>
      </w:r>
    </w:p>
    <w:p>
      <w:pPr>
        <w:pStyle w:val="Compact"/>
        <w:numPr>
          <w:ilvl w:val="0"/>
          <w:numId w:val="1044"/>
        </w:numPr>
      </w:pPr>
      <w:r>
        <w:t xml:space="preserve">CI_CD.md</w:t>
      </w:r>
    </w:p>
    <w:p>
      <w:pPr>
        <w:pStyle w:val="Compact"/>
        <w:numPr>
          <w:ilvl w:val="0"/>
          <w:numId w:val="1044"/>
        </w:numPr>
      </w:pPr>
      <w:r>
        <w:t xml:space="preserve">AI_Agent_Guide.md</w:t>
      </w:r>
    </w:p>
    <w:p>
      <w:pPr>
        <w:pStyle w:val="Compact"/>
        <w:numPr>
          <w:ilvl w:val="0"/>
          <w:numId w:val="1044"/>
        </w:numPr>
      </w:pPr>
      <w:r>
        <w:t xml:space="preserve">AGENTS.md</w:t>
      </w:r>
    </w:p>
    <w:p>
      <w:pPr>
        <w:pStyle w:val="Compact"/>
        <w:numPr>
          <w:ilvl w:val="0"/>
          <w:numId w:val="1044"/>
        </w:numPr>
      </w:pPr>
      <w:r>
        <w:t xml:space="preserve">docs/adr/README.md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2026-07-06T08:18:50Z</dcterms:created>
  <dcterms:modified xsi:type="dcterms:W3CDTF">2026-07-06T08:18:50Z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