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frastructure"/>
    <w:p>
      <w:pPr>
        <w:pStyle w:val="Heading1"/>
      </w:pPr>
      <w:r>
        <w:t xml:space="preserve">Infrastructure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Infrastructure layer of Trading Platform Pro and its primary application, the Trading Cockpit.</w:t>
      </w:r>
    </w:p>
    <w:p>
      <w:pPr>
        <w:pStyle w:val="BodyText"/>
      </w:pPr>
      <w:r>
        <w:t xml:space="preserve">Infrastructure provides technical capabilities, external integrations and adapter implementations required by application workflows.</w:t>
      </w:r>
    </w:p>
    <w:p>
      <w:pPr>
        <w:pStyle w:val="BodyText"/>
      </w:pPr>
      <w:r>
        <w:t xml:space="preserve">Infrastructure shall remain isolated from domain business rules and trading decisions.</w:t>
      </w:r>
    </w:p>
    <w:p>
      <w:r>
        <w:pict>
          <v:rect style="width:0;height:1.5pt" o:hralign="center" o:hrstd="t" o:hr="t"/>
        </w:pict>
      </w:r>
    </w:p>
    <w:bookmarkEnd w:id="10"/>
    <w:bookmarkStart w:id="11" w:name="infrastructure-responsibilities"/>
    <w:p>
      <w:pPr>
        <w:pStyle w:val="Heading1"/>
      </w:pPr>
      <w:r>
        <w:t xml:space="preserve">Infrastructure Responsibilities</w:t>
      </w:r>
    </w:p>
    <w:p>
      <w:pPr>
        <w:pStyle w:val="FirstParagraph"/>
      </w:pPr>
      <w:r>
        <w:t xml:space="preserve">Infrastructure is responsible for technical capabilities including:</w:t>
      </w:r>
    </w:p>
    <w:p>
      <w:pPr>
        <w:pStyle w:val="Compact"/>
        <w:numPr>
          <w:ilvl w:val="0"/>
          <w:numId w:val="1001"/>
        </w:numPr>
      </w:pPr>
      <w:r>
        <w:t xml:space="preserve">Configuration</w:t>
      </w:r>
    </w:p>
    <w:p>
      <w:pPr>
        <w:pStyle w:val="Compact"/>
        <w:numPr>
          <w:ilvl w:val="0"/>
          <w:numId w:val="1001"/>
        </w:numPr>
      </w:pPr>
      <w:r>
        <w:t xml:space="preserve">Structured Logging</w:t>
      </w:r>
    </w:p>
    <w:p>
      <w:pPr>
        <w:pStyle w:val="Compact"/>
        <w:numPr>
          <w:ilvl w:val="0"/>
          <w:numId w:val="1001"/>
        </w:numPr>
      </w:pPr>
      <w: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t xml:space="preserve">Persistence</w:t>
      </w:r>
    </w:p>
    <w:p>
      <w:pPr>
        <w:pStyle w:val="Compact"/>
        <w:numPr>
          <w:ilvl w:val="0"/>
          <w:numId w:val="1001"/>
        </w:numPr>
      </w:pPr>
      <w:r>
        <w:t xml:space="preserve">Broker Integration</w:t>
      </w:r>
    </w:p>
    <w:p>
      <w:pPr>
        <w:pStyle w:val="Compact"/>
        <w:numPr>
          <w:ilvl w:val="0"/>
          <w:numId w:val="1001"/>
        </w:numPr>
      </w:pPr>
      <w:r>
        <w:t xml:space="preserve">Market Data Integration</w:t>
      </w:r>
    </w:p>
    <w:p>
      <w:pPr>
        <w:pStyle w:val="Compact"/>
        <w:numPr>
          <w:ilvl w:val="0"/>
          <w:numId w:val="1001"/>
        </w:numPr>
      </w:pPr>
      <w:r>
        <w:t xml:space="preserve">File System Access</w:t>
      </w:r>
    </w:p>
    <w:p>
      <w:pPr>
        <w:pStyle w:val="Compact"/>
        <w:numPr>
          <w:ilvl w:val="0"/>
          <w:numId w:val="1001"/>
        </w:numPr>
      </w:pPr>
      <w:r>
        <w:t xml:space="preserve">Messaging</w:t>
      </w:r>
    </w:p>
    <w:p>
      <w:pPr>
        <w:pStyle w:val="Compact"/>
        <w:numPr>
          <w:ilvl w:val="0"/>
          <w:numId w:val="1001"/>
        </w:numPr>
      </w:pPr>
      <w:r>
        <w:t xml:space="preserve">Runtime Services</w:t>
      </w:r>
    </w:p>
    <w:p>
      <w:pPr>
        <w:pStyle w:val="Compact"/>
        <w:numPr>
          <w:ilvl w:val="0"/>
          <w:numId w:val="1001"/>
        </w:numPr>
      </w:pPr>
      <w:r>
        <w:t xml:space="preserve">Scheduling</w:t>
      </w:r>
    </w:p>
    <w:p>
      <w:pPr>
        <w:pStyle w:val="Compact"/>
        <w:numPr>
          <w:ilvl w:val="0"/>
          <w:numId w:val="1001"/>
        </w:numPr>
      </w:pPr>
      <w:r>
        <w:t xml:space="preserve">Monitoring</w:t>
      </w:r>
    </w:p>
    <w:p>
      <w:pPr>
        <w:pStyle w:val="Compact"/>
        <w:numPr>
          <w:ilvl w:val="0"/>
          <w:numId w:val="1001"/>
        </w:numPr>
      </w:pPr>
      <w:r>
        <w:t xml:space="preserve">Health Checks</w:t>
      </w:r>
    </w:p>
    <w:p>
      <w:pPr>
        <w:pStyle w:val="Compact"/>
        <w:numPr>
          <w:ilvl w:val="0"/>
          <w:numId w:val="1001"/>
        </w:numPr>
      </w:pPr>
      <w:r>
        <w:t xml:space="preserve">Serialization</w:t>
      </w:r>
    </w:p>
    <w:p>
      <w:pPr>
        <w:pStyle w:val="Compact"/>
        <w:numPr>
          <w:ilvl w:val="0"/>
          <w:numId w:val="1001"/>
        </w:numPr>
      </w:pPr>
      <w:r>
        <w:t xml:space="preserve">Security Integration</w:t>
      </w:r>
    </w:p>
    <w:p>
      <w:pPr>
        <w:pStyle w:val="Compact"/>
        <w:numPr>
          <w:ilvl w:val="0"/>
          <w:numId w:val="1001"/>
        </w:numPr>
      </w:pPr>
      <w:r>
        <w:t xml:space="preserve">External APIs</w:t>
      </w:r>
    </w:p>
    <w:p>
      <w:pPr>
        <w:pStyle w:val="FirstParagraph"/>
      </w:pPr>
      <w:r>
        <w:t xml:space="preserve">Infrastructure implements ports and technical abstractions defined by the Application or Domain layers where appropriate.</w:t>
      </w:r>
    </w:p>
    <w:p>
      <w:r>
        <w:pict>
          <v:rect style="width:0;height:1.5pt" o:hralign="center" o:hrstd="t" o:hr="t"/>
        </w:pict>
      </w:r>
    </w:p>
    <w:bookmarkEnd w:id="11"/>
    <w:bookmarkStart w:id="12" w:name="infrastructure-principles"/>
    <w:p>
      <w:pPr>
        <w:pStyle w:val="Heading1"/>
      </w:pPr>
      <w:r>
        <w:t xml:space="preserve">Infrastructure Principles</w:t>
      </w:r>
    </w:p>
    <w:p>
      <w:pPr>
        <w:pStyle w:val="FirstParagraph"/>
      </w:pPr>
      <w:r>
        <w:t xml:space="preserve">Infrastructure shall:</w:t>
      </w:r>
    </w:p>
    <w:p>
      <w:pPr>
        <w:pStyle w:val="Compact"/>
        <w:numPr>
          <w:ilvl w:val="0"/>
          <w:numId w:val="1002"/>
        </w:numPr>
      </w:pPr>
      <w:r>
        <w:t xml:space="preserve">isolate external dependencies</w:t>
      </w:r>
    </w:p>
    <w:p>
      <w:pPr>
        <w:pStyle w:val="Compact"/>
        <w:numPr>
          <w:ilvl w:val="0"/>
          <w:numId w:val="1002"/>
        </w:numPr>
      </w:pPr>
      <w:r>
        <w:t xml:space="preserve">implement explicit ports</w:t>
      </w:r>
    </w:p>
    <w:p>
      <w:pPr>
        <w:pStyle w:val="Compact"/>
        <w:numPr>
          <w:ilvl w:val="0"/>
          <w:numId w:val="1002"/>
        </w:numPr>
      </w:pPr>
      <w:r>
        <w:t xml:space="preserve">remain replaceable where practical</w:t>
      </w:r>
    </w:p>
    <w:p>
      <w:pPr>
        <w:pStyle w:val="Compact"/>
        <w:numPr>
          <w:ilvl w:val="0"/>
          <w:numId w:val="1002"/>
        </w:numPr>
      </w:pPr>
      <w:r>
        <w:t xml:space="preserve">contain no trading decisions</w:t>
      </w:r>
    </w:p>
    <w:p>
      <w:pPr>
        <w:pStyle w:val="Compact"/>
        <w:numPr>
          <w:ilvl w:val="0"/>
          <w:numId w:val="1002"/>
        </w:numPr>
      </w:pPr>
      <w:r>
        <w:t xml:space="preserve">contain no domain business rules</w:t>
      </w:r>
    </w:p>
    <w:p>
      <w:pPr>
        <w:pStyle w:val="Compact"/>
        <w:numPr>
          <w:ilvl w:val="0"/>
          <w:numId w:val="1002"/>
        </w:numPr>
      </w:pPr>
      <w:r>
        <w:t xml:space="preserve">expose operational state</w:t>
      </w:r>
    </w:p>
    <w:p>
      <w:pPr>
        <w:pStyle w:val="Compact"/>
        <w:numPr>
          <w:ilvl w:val="0"/>
          <w:numId w:val="1002"/>
        </w:numPr>
      </w:pPr>
      <w:r>
        <w:t xml:space="preserve">expose technical failures</w:t>
      </w:r>
    </w:p>
    <w:p>
      <w:pPr>
        <w:pStyle w:val="Compact"/>
        <w:numPr>
          <w:ilvl w:val="0"/>
          <w:numId w:val="1002"/>
        </w:numPr>
      </w:pPr>
      <w:r>
        <w:t xml:space="preserve">support deterministic testing</w:t>
      </w:r>
    </w:p>
    <w:p>
      <w:pPr>
        <w:pStyle w:val="Compact"/>
        <w:numPr>
          <w:ilvl w:val="0"/>
          <w:numId w:val="1002"/>
        </w:numPr>
      </w:pPr>
      <w:r>
        <w:t xml:space="preserve">support controlled lifecycle management</w:t>
      </w:r>
    </w:p>
    <w:p>
      <w:pPr>
        <w:pStyle w:val="FirstParagraph"/>
      </w:pPr>
      <w:r>
        <w:t xml:space="preserve">Infrastructure shall not silently alter business state.</w:t>
      </w:r>
    </w:p>
    <w:p>
      <w:r>
        <w:pict>
          <v:rect style="width:0;height:1.5pt" o:hralign="center" o:hrstd="t" o:hr="t"/>
        </w:pict>
      </w:r>
    </w:p>
    <w:bookmarkEnd w:id="12"/>
    <w:bookmarkStart w:id="13" w:name="infrastructure-boundaries"/>
    <w:p>
      <w:pPr>
        <w:pStyle w:val="Heading1"/>
      </w:pPr>
      <w:r>
        <w:t xml:space="preserve">Infrastructure Boundaries</w:t>
      </w:r>
    </w:p>
    <w:p>
      <w:pPr>
        <w:pStyle w:val="FirstParagraph"/>
      </w:pPr>
      <w:r>
        <w:t xml:space="preserve">Infrastructure may translate:</w:t>
      </w:r>
    </w:p>
    <w:p>
      <w:pPr>
        <w:pStyle w:val="Compact"/>
        <w:numPr>
          <w:ilvl w:val="0"/>
          <w:numId w:val="1003"/>
        </w:numPr>
      </w:pPr>
      <w:r>
        <w:t xml:space="preserve">external data</w:t>
      </w:r>
    </w:p>
    <w:p>
      <w:pPr>
        <w:pStyle w:val="Compact"/>
        <w:numPr>
          <w:ilvl w:val="0"/>
          <w:numId w:val="1003"/>
        </w:numPr>
      </w:pPr>
      <w:r>
        <w:t xml:space="preserve">provider identifiers</w:t>
      </w:r>
    </w:p>
    <w:p>
      <w:pPr>
        <w:pStyle w:val="Compact"/>
        <w:numPr>
          <w:ilvl w:val="0"/>
          <w:numId w:val="1003"/>
        </w:numPr>
      </w:pPr>
      <w:r>
        <w:t xml:space="preserve">transport errors</w:t>
      </w:r>
    </w:p>
    <w:p>
      <w:pPr>
        <w:pStyle w:val="Compact"/>
        <w:numPr>
          <w:ilvl w:val="0"/>
          <w:numId w:val="1003"/>
        </w:numPr>
      </w:pPr>
      <w:r>
        <w:t xml:space="preserve">persistence records</w:t>
      </w:r>
    </w:p>
    <w:p>
      <w:pPr>
        <w:pStyle w:val="Compact"/>
        <w:numPr>
          <w:ilvl w:val="0"/>
          <w:numId w:val="1003"/>
        </w:numPr>
      </w:pPr>
      <w:r>
        <w:t xml:space="preserve">technical connection state</w:t>
      </w:r>
    </w:p>
    <w:p>
      <w:pPr>
        <w:pStyle w:val="FirstParagraph"/>
      </w:pPr>
      <w:r>
        <w:t xml:space="preserve">Infrastructure shall not decide:</w:t>
      </w:r>
    </w:p>
    <w:p>
      <w:pPr>
        <w:pStyle w:val="Compact"/>
        <w:numPr>
          <w:ilvl w:val="0"/>
          <w:numId w:val="1004"/>
        </w:numPr>
      </w:pPr>
      <w:r>
        <w:t xml:space="preserve">whether a trading candidate is accepted</w:t>
      </w:r>
    </w:p>
    <w:p>
      <w:pPr>
        <w:pStyle w:val="Compact"/>
        <w:numPr>
          <w:ilvl w:val="0"/>
          <w:numId w:val="1004"/>
        </w:numPr>
      </w:pPr>
      <w:r>
        <w:t xml:space="preserve">whether a trading decision is valid</w:t>
      </w:r>
    </w:p>
    <w:p>
      <w:pPr>
        <w:pStyle w:val="Compact"/>
        <w:numPr>
          <w:ilvl w:val="0"/>
          <w:numId w:val="1004"/>
        </w:numPr>
      </w:pPr>
      <w:r>
        <w:t xml:space="preserve">whether portfolio risk is acceptable</w:t>
      </w:r>
    </w:p>
    <w:p>
      <w:pPr>
        <w:pStyle w:val="Compact"/>
        <w:numPr>
          <w:ilvl w:val="0"/>
          <w:numId w:val="1004"/>
        </w:numPr>
      </w:pPr>
      <w:r>
        <w:t xml:space="preserve">whether an order should be submitted</w:t>
      </w:r>
    </w:p>
    <w:p>
      <w:pPr>
        <w:pStyle w:val="Compact"/>
        <w:numPr>
          <w:ilvl w:val="0"/>
          <w:numId w:val="1004"/>
        </w:numPr>
      </w:pPr>
      <w:r>
        <w:t xml:space="preserve">whether a position should be closed</w:t>
      </w:r>
    </w:p>
    <w:p>
      <w:pPr>
        <w:pStyle w:val="FirstParagraph"/>
      </w:pPr>
      <w:r>
        <w:t xml:space="preserve">These decisions belong to Domain or Application workflows.</w:t>
      </w:r>
    </w:p>
    <w:p>
      <w:r>
        <w:pict>
          <v:rect style="width:0;height:1.5pt" o:hralign="center" o:hrstd="t" o:hr="t"/>
        </w:pict>
      </w:r>
    </w:p>
    <w:bookmarkEnd w:id="13"/>
    <w:bookmarkStart w:id="14" w:name="adapter-architecture"/>
    <w:p>
      <w:pPr>
        <w:pStyle w:val="Heading1"/>
      </w:pPr>
      <w:r>
        <w:t xml:space="preserve">Adapter Architecture</w:t>
      </w:r>
    </w:p>
    <w:p>
      <w:pPr>
        <w:pStyle w:val="FirstParagraph"/>
      </w:pPr>
      <w:r>
        <w:t xml:space="preserve">External systems shall be accessed through explicit adapters.</w:t>
      </w:r>
    </w:p>
    <w:p>
      <w:pPr>
        <w:pStyle w:val="BodyText"/>
      </w:pPr>
      <w:r>
        <w:t xml:space="preserve">```text</w:t>
      </w:r>
      <w:r>
        <w:t xml:space="preserve"> </w:t>
      </w:r>
      <w:r>
        <w:t xml:space="preserve">Application Port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Infrastructure Adapter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External System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2026-07-06T08:18:49Z</dcterms:created>
  <dcterms:modified xsi:type="dcterms:W3CDTF">2026-07-06T08:18:49Z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