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chnical-roadmap"/>
    <w:p>
      <w:pPr>
        <w:pStyle w:val="Heading1"/>
      </w:pPr>
      <w:r>
        <w:t xml:space="preserve">Technical Roadmap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technical implementation roadmap for Trading Platform Pro and its primary product, the Trading Cockpit.</w:t>
      </w:r>
    </w:p>
    <w:p>
      <w:pPr>
        <w:pStyle w:val="BodyText"/>
      </w:pPr>
      <w:r>
        <w:t xml:space="preserve">Unlike</w:t>
      </w:r>
      <w:r>
        <w:t xml:space="preserve"> </w:t>
      </w:r>
      <w:r>
        <w:rPr>
          <w:rStyle w:val="VerbatimChar"/>
        </w:rPr>
        <w:t xml:space="preserve">Product_Roadmap.md</w:t>
      </w:r>
      <w:r>
        <w:t xml:space="preserve">, this roadmap focuses on:</w:t>
      </w:r>
    </w:p>
    <w:p>
      <w:pPr>
        <w:pStyle w:val="Compact"/>
        <w:numPr>
          <w:ilvl w:val="0"/>
          <w:numId w:val="1001"/>
        </w:numPr>
      </w:pPr>
      <w:r>
        <w:t xml:space="preserve">technical implementation priorities</w:t>
      </w:r>
    </w:p>
    <w:p>
      <w:pPr>
        <w:pStyle w:val="Compact"/>
        <w:numPr>
          <w:ilvl w:val="0"/>
          <w:numId w:val="1001"/>
        </w:numPr>
      </w:pPr>
      <w:r>
        <w:t xml:space="preserve">capability delivery order</w:t>
      </w:r>
    </w:p>
    <w:p>
      <w:pPr>
        <w:pStyle w:val="Compact"/>
        <w:numPr>
          <w:ilvl w:val="0"/>
          <w:numId w:val="1001"/>
        </w:numPr>
      </w:pPr>
      <w:r>
        <w:t xml:space="preserve">architecture evolution</w:t>
      </w:r>
    </w:p>
    <w:p>
      <w:pPr>
        <w:pStyle w:val="Compact"/>
        <w:numPr>
          <w:ilvl w:val="0"/>
          <w:numId w:val="1001"/>
        </w:numPr>
      </w:pPr>
      <w:r>
        <w:t xml:space="preserve">engineering milestones</w:t>
      </w:r>
    </w:p>
    <w:p>
      <w:pPr>
        <w:pStyle w:val="Compact"/>
        <w:numPr>
          <w:ilvl w:val="0"/>
          <w:numId w:val="1001"/>
        </w:numPr>
      </w:pPr>
      <w:r>
        <w:t xml:space="preserve">operational safety</w:t>
      </w:r>
    </w:p>
    <w:p>
      <w:pPr>
        <w:pStyle w:val="Compact"/>
        <w:numPr>
          <w:ilvl w:val="0"/>
          <w:numId w:val="1001"/>
        </w:numPr>
      </w:pPr>
      <w:r>
        <w:t xml:space="preserve">quality gates</w:t>
      </w:r>
    </w:p>
    <w:p>
      <w:pPr>
        <w:pStyle w:val="FirstParagraph"/>
      </w:pPr>
      <w:r>
        <w:t xml:space="preserve">The technical roadmap follows concrete Trading Cockpit requirements.</w:t>
      </w:r>
    </w:p>
    <w:p>
      <w:pPr>
        <w:pStyle w:val="BodyText"/>
      </w:pPr>
      <w:r>
        <w:t xml:space="preserve">Shared platform capabilities evolve when multiple implemented product capabilities require them.</w:t>
      </w:r>
    </w:p>
    <w:p>
      <w:r>
        <w:pict>
          <v:rect style="width:0;height:1.5pt" o:hralign="center" o:hrstd="t" o:hr="t"/>
        </w:pict>
      </w:r>
    </w:p>
    <w:bookmarkEnd w:id="10"/>
    <w:bookmarkStart w:id="11" w:name="roadmap-principle"/>
    <w:p>
      <w:pPr>
        <w:pStyle w:val="Heading1"/>
      </w:pPr>
      <w:r>
        <w:t xml:space="preserve">Roadmap Principle</w:t>
      </w:r>
    </w:p>
    <w:p>
      <w:pPr>
        <w:pStyle w:val="FirstParagraph"/>
      </w:pPr>
      <w:r>
        <w:t xml:space="preserve">The Trading Cockpit is developed through vertical product capabilities.</w:t>
      </w:r>
    </w:p>
    <w:p>
      <w:pPr>
        <w:pStyle w:val="BodyText"/>
      </w:pPr>
      <w:r>
        <w:t xml:space="preserve">Preferred evolution:</w:t>
      </w:r>
    </w:p>
    <w:p>
      <w:pPr>
        <w:pStyle w:val="SourceCode"/>
      </w:pPr>
      <w:r>
        <w:rPr>
          <w:rStyle w:val="VerbatimChar"/>
        </w:rPr>
        <w:t xml:space="preserve">Trading Cockpit Requirement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Vertical Product Capability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 and Domain Behaviour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Required Infrastructure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Presentation Integration</w:t>
      </w:r>
    </w:p>
    <w:p>
      <w:pPr>
        <w:pStyle w:val="FirstParagraph"/>
      </w:pPr>
      <w:r>
        <w:t xml:space="preserve">Do not build generic platform infrastructure before a concrete product capability requires it.</w:t>
      </w:r>
    </w:p>
    <w:p>
      <w:pPr>
        <w:pStyle w:val="BodyText"/>
      </w:pPr>
      <w:r>
        <w:t xml:space="preserve">Shared infrastructure shall emerge from demonstrated reuse.</w:t>
      </w:r>
    </w:p>
    <w:p>
      <w:r>
        <w:pict>
          <v:rect style="width:0;height:1.5pt" o:hralign="center" o:hrstd="t" o:hr="t"/>
        </w:pict>
      </w:r>
    </w:p>
    <w:bookmarkEnd w:id="11"/>
    <w:bookmarkStart w:id="12" w:name="product-first-delivery"/>
    <w:p>
      <w:pPr>
        <w:pStyle w:val="Heading1"/>
      </w:pPr>
      <w:r>
        <w:t xml:space="preserve">Product-First Delivery</w:t>
      </w:r>
    </w:p>
    <w:p>
      <w:pPr>
        <w:pStyle w:val="FirstParagraph"/>
      </w:pPr>
      <w:r>
        <w:t xml:space="preserve">The roadmap does not separate development into:</w:t>
      </w:r>
    </w:p>
    <w:p>
      <w:pPr>
        <w:pStyle w:val="SourceCode"/>
      </w:pPr>
      <w:r>
        <w:rPr>
          <w:rStyle w:val="VerbatimChar"/>
        </w:rPr>
        <w:t xml:space="preserve">Build Generic Platform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Build Trading Platform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Build Trading Cockpit</w:t>
      </w:r>
    </w:p>
    <w:p>
      <w:pPr>
        <w:pStyle w:val="FirstParagraph"/>
      </w:pPr>
      <w:r>
        <w:t xml:space="preserve">Instead, each phase delivers or strengthens concrete Trading Cockpit capabilities.</w:t>
      </w:r>
    </w:p>
    <w:p>
      <w:pPr>
        <w:pStyle w:val="BodyText"/>
      </w:pPr>
      <w:r>
        <w:t xml:space="preserve">A vertical capability may include:</w:t>
      </w:r>
    </w:p>
    <w:p>
      <w:pPr>
        <w:pStyle w:val="SourceCode"/>
      </w:pP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Testing</w:t>
      </w:r>
      <w:r>
        <w:br/>
      </w:r>
      <w:r>
        <w:rPr>
          <w:rStyle w:val="VerbatimChar"/>
        </w:rPr>
        <w:t xml:space="preserve">Documentation</w:t>
      </w:r>
    </w:p>
    <w:p>
      <w:pPr>
        <w:pStyle w:val="FirstParagraph"/>
      </w:pPr>
      <w:r>
        <w:t xml:space="preserve">while preserving architecture dependency direction.</w:t>
      </w:r>
    </w:p>
    <w:p>
      <w:r>
        <w:pict>
          <v:rect style="width:0;height:1.5pt" o:hralign="center" o:hrstd="t" o:hr="t"/>
        </w:pict>
      </w:r>
    </w:p>
    <w:bookmarkEnd w:id="12"/>
    <w:bookmarkStart w:id="13" w:name="current-direction"/>
    <w:p>
      <w:pPr>
        <w:pStyle w:val="Heading1"/>
      </w:pPr>
      <w:r>
        <w:t xml:space="preserve">Current Direction</w:t>
      </w:r>
    </w:p>
    <w:p>
      <w:pPr>
        <w:pStyle w:val="FirstParagraph"/>
      </w:pPr>
      <w:r>
        <w:t xml:space="preserve">The current engineering direction is:</w:t>
      </w:r>
    </w:p>
    <w:p>
      <w:pPr>
        <w:pStyle w:val="Compact"/>
        <w:numPr>
          <w:ilvl w:val="0"/>
          <w:numId w:val="1002"/>
        </w:numPr>
      </w:pPr>
      <w:r>
        <w:t xml:space="preserve">Trading Cockpit first</w:t>
      </w:r>
    </w:p>
    <w:p>
      <w:pPr>
        <w:pStyle w:val="Compact"/>
        <w:numPr>
          <w:ilvl w:val="0"/>
          <w:numId w:val="1002"/>
        </w:numPr>
      </w:pPr>
      <w:r>
        <w:t xml:space="preserve">vertical product slices</w:t>
      </w:r>
    </w:p>
    <w:p>
      <w:pPr>
        <w:pStyle w:val="Compact"/>
        <w:numPr>
          <w:ilvl w:val="0"/>
          <w:numId w:val="1002"/>
        </w:numPr>
      </w:pPr>
      <w:r>
        <w:t xml:space="preserve">explicit capability ownership</w:t>
      </w:r>
    </w:p>
    <w:p>
      <w:pPr>
        <w:pStyle w:val="Compact"/>
        <w:numPr>
          <w:ilvl w:val="0"/>
          <w:numId w:val="1002"/>
        </w:numPr>
      </w:pPr>
      <w:r>
        <w:t xml:space="preserve">deterministic state transitions</w:t>
      </w:r>
    </w:p>
    <w:p>
      <w:pPr>
        <w:pStyle w:val="Compact"/>
        <w:numPr>
          <w:ilvl w:val="0"/>
          <w:numId w:val="1002"/>
        </w:numPr>
      </w:pPr>
      <w:r>
        <w:t xml:space="preserve">explicit external side effects</w:t>
      </w:r>
    </w:p>
    <w:p>
      <w:pPr>
        <w:pStyle w:val="Compact"/>
        <w:numPr>
          <w:ilvl w:val="0"/>
          <w:numId w:val="1002"/>
        </w:numPr>
      </w:pPr>
      <w:r>
        <w:t xml:space="preserve">strong PAPER and LIVE separation</w:t>
      </w:r>
    </w:p>
    <w:p>
      <w:pPr>
        <w:pStyle w:val="Compact"/>
        <w:numPr>
          <w:ilvl w:val="0"/>
          <w:numId w:val="1002"/>
        </w:numPr>
      </w:pPr>
      <w:r>
        <w:t xml:space="preserve">broker acknowledgement semantics</w:t>
      </w:r>
    </w:p>
    <w:p>
      <w:pPr>
        <w:pStyle w:val="Compact"/>
        <w:numPr>
          <w:ilvl w:val="0"/>
          <w:numId w:val="1002"/>
        </w:numPr>
      </w:pPr>
      <w:r>
        <w:t xml:space="preserve">duplicate submission protection</w:t>
      </w:r>
    </w:p>
    <w:p>
      <w:pPr>
        <w:pStyle w:val="Compact"/>
        <w:numPr>
          <w:ilvl w:val="0"/>
          <w:numId w:val="1002"/>
        </w:numPr>
      </w:pPr>
      <w:r>
        <w:t xml:space="preserve">reconciliation-aware workflows</w:t>
      </w:r>
    </w:p>
    <w:p>
      <w:pPr>
        <w:pStyle w:val="Compact"/>
        <w:numPr>
          <w:ilvl w:val="0"/>
          <w:numId w:val="1002"/>
        </w:numPr>
      </w:pPr>
      <w:r>
        <w:t xml:space="preserve">controlled AsyncIO lifecycle</w:t>
      </w:r>
    </w:p>
    <w:p>
      <w:pPr>
        <w:pStyle w:val="Compact"/>
        <w:numPr>
          <w:ilvl w:val="0"/>
          <w:numId w:val="1002"/>
        </w:numPr>
      </w:pPr>
      <w:r>
        <w:t xml:space="preserve">synchronized Markdown documentation</w:t>
      </w:r>
    </w:p>
    <w:p>
      <w:pPr>
        <w:pStyle w:val="Compact"/>
        <w:numPr>
          <w:ilvl w:val="0"/>
          <w:numId w:val="1002"/>
        </w:numPr>
      </w:pPr>
      <w:r>
        <w:t xml:space="preserve">automated quality gates</w:t>
      </w:r>
    </w:p>
    <w:p>
      <w:pPr>
        <w:pStyle w:val="FirstParagraph"/>
      </w:pPr>
      <w:r>
        <w:t xml:space="preserve">Generic platform capabilities are not roadmap objectives by themselves.</w:t>
      </w:r>
    </w:p>
    <w:p>
      <w:r>
        <w:pict>
          <v:rect style="width:0;height:1.5pt" o:hralign="center" o:hrstd="t" o:hr="t"/>
        </w:pict>
      </w:r>
    </w:p>
    <w:bookmarkEnd w:id="13"/>
    <w:bookmarkStart w:id="14" w:name="phase-1-runtime-and-safety-foundation"/>
    <w:p>
      <w:pPr>
        <w:pStyle w:val="Heading1"/>
      </w:pPr>
      <w:r>
        <w:t xml:space="preserve">Phase 1 – Runtime and Safety Foundation</w:t>
      </w:r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In Progress</w:t>
      </w:r>
    </w:p>
    <w:p>
      <w:pPr>
        <w:pStyle w:val="BodyText"/>
      </w:pPr>
      <w:r>
        <w:t xml:space="preserve">Objective:</w:t>
      </w:r>
    </w:p>
    <w:p>
      <w:pPr>
        <w:pStyle w:val="BodyText"/>
      </w:pPr>
      <w:r>
        <w:t xml:space="preserve">Establish the technical foundation required for safe and deterministic Trading Cockpit operation.</w:t>
      </w:r>
    </w:p>
    <w:p>
      <w:pPr>
        <w:pStyle w:val="BodyText"/>
      </w:pPr>
      <w:r>
        <w:t xml:space="preserve">Primary areas:</w:t>
      </w:r>
    </w:p>
    <w:p>
      <w:pPr>
        <w:pStyle w:val="Compact"/>
        <w:numPr>
          <w:ilvl w:val="0"/>
          <w:numId w:val="1003"/>
        </w:numPr>
      </w:pPr>
      <w:r>
        <w:t xml:space="preserve">configuration</w:t>
      </w:r>
    </w:p>
    <w:p>
      <w:pPr>
        <w:pStyle w:val="Compact"/>
        <w:numPr>
          <w:ilvl w:val="0"/>
          <w:numId w:val="1003"/>
        </w:numPr>
      </w:pPr>
      <w:r>
        <w:t xml:space="preserve">dependency registration</w:t>
      </w:r>
    </w:p>
    <w:p>
      <w:pPr>
        <w:pStyle w:val="Compact"/>
        <w:numPr>
          <w:ilvl w:val="0"/>
          <w:numId w:val="1003"/>
        </w:numPr>
      </w:pPr>
      <w:r>
        <w:t xml:space="preserve">runtime lifecycle</w:t>
      </w:r>
    </w:p>
    <w:p>
      <w:pPr>
        <w:pStyle w:val="Compact"/>
        <w:numPr>
          <w:ilvl w:val="0"/>
          <w:numId w:val="1003"/>
        </w:numPr>
      </w:pPr>
      <w:r>
        <w:t xml:space="preserve">AsyncIO integration</w:t>
      </w:r>
    </w:p>
    <w:p>
      <w:pPr>
        <w:pStyle w:val="Compact"/>
        <w:numPr>
          <w:ilvl w:val="0"/>
          <w:numId w:val="1003"/>
        </w:numPr>
      </w:pPr>
      <w:r>
        <w:t xml:space="preserve">structured logging</w:t>
      </w:r>
    </w:p>
    <w:p>
      <w:pPr>
        <w:pStyle w:val="Compact"/>
        <w:numPr>
          <w:ilvl w:val="0"/>
          <w:numId w:val="1003"/>
        </w:numPr>
      </w:pPr>
      <w:r>
        <w:t xml:space="preserve">monitoring</w:t>
      </w:r>
    </w:p>
    <w:p>
      <w:pPr>
        <w:pStyle w:val="Compact"/>
        <w:numPr>
          <w:ilvl w:val="0"/>
          <w:numId w:val="1003"/>
        </w:numPr>
      </w:pPr>
      <w:r>
        <w:t xml:space="preserve">persistence foundation</w:t>
      </w:r>
    </w:p>
    <w:p>
      <w:pPr>
        <w:pStyle w:val="Compact"/>
        <w:numPr>
          <w:ilvl w:val="0"/>
          <w:numId w:val="1003"/>
        </w:numPr>
      </w:pPr>
      <w:r>
        <w:t xml:space="preserve">controlled startup</w:t>
      </w:r>
    </w:p>
    <w:p>
      <w:pPr>
        <w:pStyle w:val="Compact"/>
        <w:numPr>
          <w:ilvl w:val="0"/>
          <w:numId w:val="1003"/>
        </w:numPr>
      </w:pPr>
      <w:r>
        <w:t xml:space="preserve">controlled shutdown</w:t>
      </w:r>
    </w:p>
    <w:p>
      <w:pPr>
        <w:pStyle w:val="Compact"/>
        <w:numPr>
          <w:ilvl w:val="0"/>
          <w:numId w:val="1003"/>
        </w:numPr>
      </w:pPr>
      <w:r>
        <w:t xml:space="preserve">PAPER and LIVE separation</w:t>
      </w:r>
    </w:p>
    <w:p>
      <w:pPr>
        <w:pStyle w:val="Compact"/>
        <w:numPr>
          <w:ilvl w:val="0"/>
          <w:numId w:val="1003"/>
        </w:numPr>
      </w:pPr>
      <w:r>
        <w:t xml:space="preserve">source quality gates</w:t>
      </w:r>
    </w:p>
    <w:p>
      <w:pPr>
        <w:pStyle w:val="Compact"/>
        <w:numPr>
          <w:ilvl w:val="0"/>
          <w:numId w:val="1003"/>
        </w:numPr>
      </w:pPr>
      <w:r>
        <w:t xml:space="preserve">automated testing foundation</w:t>
      </w:r>
    </w:p>
    <w:p>
      <w:pPr>
        <w:pStyle w:val="Compact"/>
        <w:numPr>
          <w:ilvl w:val="0"/>
          <w:numId w:val="1003"/>
        </w:numPr>
      </w:pPr>
      <w:r>
        <w:t xml:space="preserve">documentation generation</w:t>
      </w:r>
    </w:p>
    <w:p>
      <w:pPr>
        <w:pStyle w:val="FirstParagraph"/>
      </w:pPr>
      <w:r>
        <w:t xml:space="preserve">Required outcomes:</w:t>
      </w:r>
    </w:p>
    <w:p>
      <w:pPr>
        <w:pStyle w:val="Compact"/>
        <w:numPr>
          <w:ilvl w:val="0"/>
          <w:numId w:val="1004"/>
        </w:numPr>
      </w:pPr>
      <w:r>
        <w:t xml:space="preserve">runtime state is explicit</w:t>
      </w:r>
    </w:p>
    <w:p>
      <w:pPr>
        <w:pStyle w:val="Compact"/>
        <w:numPr>
          <w:ilvl w:val="0"/>
          <w:numId w:val="1004"/>
        </w:numPr>
      </w:pPr>
      <w:r>
        <w:t xml:space="preserve">startup order is deterministic</w:t>
      </w:r>
    </w:p>
    <w:p>
      <w:pPr>
        <w:pStyle w:val="Compact"/>
        <w:numPr>
          <w:ilvl w:val="0"/>
          <w:numId w:val="1004"/>
        </w:numPr>
      </w:pPr>
      <w:r>
        <w:t xml:space="preserve">shutdown order is deterministic</w:t>
      </w:r>
    </w:p>
    <w:p>
      <w:pPr>
        <w:pStyle w:val="Compact"/>
        <w:numPr>
          <w:ilvl w:val="0"/>
          <w:numId w:val="1004"/>
        </w:numPr>
      </w:pPr>
      <w:r>
        <w:t xml:space="preserve">long-running tasks have explicit ownership</w:t>
      </w:r>
    </w:p>
    <w:p>
      <w:pPr>
        <w:pStyle w:val="Compact"/>
        <w:numPr>
          <w:ilvl w:val="0"/>
          <w:numId w:val="1004"/>
        </w:numPr>
      </w:pPr>
      <w:r>
        <w:t xml:space="preserve">cancellation behaviour is defined</w:t>
      </w:r>
    </w:p>
    <w:p>
      <w:pPr>
        <w:pStyle w:val="Compact"/>
        <w:numPr>
          <w:ilvl w:val="0"/>
          <w:numId w:val="1004"/>
        </w:numPr>
      </w:pPr>
      <w:r>
        <w:t xml:space="preserve">timeout behaviour is explicit</w:t>
      </w:r>
    </w:p>
    <w:p>
      <w:pPr>
        <w:pStyle w:val="Compact"/>
        <w:numPr>
          <w:ilvl w:val="0"/>
          <w:numId w:val="1004"/>
        </w:numPr>
      </w:pPr>
      <w:r>
        <w:t xml:space="preserve">PAPER remains PAPER</w:t>
      </w:r>
    </w:p>
    <w:p>
      <w:pPr>
        <w:pStyle w:val="Compact"/>
        <w:numPr>
          <w:ilvl w:val="0"/>
          <w:numId w:val="1004"/>
        </w:numPr>
      </w:pPr>
      <w:r>
        <w:t xml:space="preserve">LIVE requires explicit selection</w:t>
      </w:r>
    </w:p>
    <w:p>
      <w:pPr>
        <w:pStyle w:val="Compact"/>
        <w:numPr>
          <w:ilvl w:val="0"/>
          <w:numId w:val="1004"/>
        </w:numPr>
      </w:pPr>
      <w:r>
        <w:t xml:space="preserve">no fallback activates LIVE</w:t>
      </w:r>
    </w:p>
    <w:p>
      <w:pPr>
        <w:pStyle w:val="Compact"/>
        <w:numPr>
          <w:ilvl w:val="0"/>
          <w:numId w:val="1004"/>
        </w:numPr>
      </w:pPr>
      <w:r>
        <w:t xml:space="preserve">Markdown remains documentation source of truth</w:t>
      </w:r>
    </w:p>
    <w:p>
      <w:pPr>
        <w:pStyle w:val="Compact"/>
        <w:numPr>
          <w:ilvl w:val="0"/>
          <w:numId w:val="1004"/>
        </w:numPr>
      </w:pPr>
      <w:r>
        <w:t xml:space="preserve">required CI quality gates are executable</w:t>
      </w:r>
    </w:p>
    <w:p>
      <w:pPr>
        <w:pStyle w:val="FirstParagraph"/>
      </w:pPr>
      <w:r>
        <w:t xml:space="preserve">The foundation shall support concrete Trading Cockpit capabilities.</w:t>
      </w:r>
    </w:p>
    <w:p>
      <w:pPr>
        <w:pStyle w:val="BodyText"/>
      </w:pPr>
      <w:r>
        <w:t xml:space="preserve">It shall not become a generic platform-services program.</w:t>
      </w:r>
    </w:p>
    <w:p>
      <w:r>
        <w:pict>
          <v:rect style="width:0;height:1.5pt" o:hralign="center" o:hrstd="t" o:hr="t"/>
        </w:pict>
      </w:r>
    </w:p>
    <w:bookmarkEnd w:id="14"/>
    <w:bookmarkStart w:id="15" w:name="phase-1-safety-milestones"/>
    <w:p>
      <w:pPr>
        <w:pStyle w:val="Heading1"/>
      </w:pPr>
      <w:r>
        <w:t xml:space="preserve">Phase 1 Safety Milestones</w:t>
      </w:r>
    </w:p>
    <w:p>
      <w:pPr>
        <w:pStyle w:val="FirstParagraph"/>
      </w:pPr>
      <w:r>
        <w:t xml:space="preserve">Before trading-critical workflows are considered operationally mature:</w:t>
      </w:r>
    </w:p>
    <w:p>
      <w:pPr>
        <w:pStyle w:val="Compact"/>
        <w:numPr>
          <w:ilvl w:val="0"/>
          <w:numId w:val="1005"/>
        </w:numPr>
      </w:pPr>
      <w:r>
        <w:t xml:space="preserve">broker connection state is explicit</w:t>
      </w:r>
    </w:p>
    <w:p>
      <w:pPr>
        <w:pStyle w:val="Compact"/>
        <w:numPr>
          <w:ilvl w:val="0"/>
          <w:numId w:val="1005"/>
        </w:numPr>
      </w:pPr>
      <w:r>
        <w:t xml:space="preserve">market data connection state is explicit</w:t>
      </w:r>
    </w:p>
    <w:p>
      <w:pPr>
        <w:pStyle w:val="Compact"/>
        <w:numPr>
          <w:ilvl w:val="0"/>
          <w:numId w:val="1005"/>
        </w:numPr>
      </w:pPr>
      <w:r>
        <w:t xml:space="preserve">broker and market data lifecycles remain distinguishable</w:t>
      </w:r>
    </w:p>
    <w:p>
      <w:pPr>
        <w:pStyle w:val="Compact"/>
        <w:numPr>
          <w:ilvl w:val="0"/>
          <w:numId w:val="1005"/>
        </w:numPr>
      </w:pPr>
      <w:r>
        <w:t xml:space="preserve">external side effects are Application-owned</w:t>
      </w:r>
    </w:p>
    <w:p>
      <w:pPr>
        <w:pStyle w:val="Compact"/>
        <w:numPr>
          <w:ilvl w:val="0"/>
          <w:numId w:val="1005"/>
        </w:numPr>
      </w:pPr>
      <w:r>
        <w:t xml:space="preserve">financial data availability remains explicit</w:t>
      </w:r>
    </w:p>
    <w:p>
      <w:pPr>
        <w:pStyle w:val="Compact"/>
        <w:numPr>
          <w:ilvl w:val="0"/>
          <w:numId w:val="1005"/>
        </w:numPr>
      </w:pPr>
      <w:r>
        <w:t xml:space="preserve">persistence state is deterministic</w:t>
      </w:r>
    </w:p>
    <w:p>
      <w:pPr>
        <w:pStyle w:val="Compact"/>
        <w:numPr>
          <w:ilvl w:val="0"/>
          <w:numId w:val="1005"/>
        </w:numPr>
      </w:pPr>
      <w:r>
        <w:t xml:space="preserve">monitoring remains observational</w:t>
      </w:r>
    </w:p>
    <w:p>
      <w:pPr>
        <w:pStyle w:val="Compact"/>
        <w:numPr>
          <w:ilvl w:val="0"/>
          <w:numId w:val="1005"/>
        </w:numPr>
      </w:pPr>
      <w:r>
        <w:t xml:space="preserve">reconciliation observation is separated from repair</w:t>
      </w:r>
    </w:p>
    <w:p>
      <w:pPr>
        <w:pStyle w:val="Compact"/>
        <w:numPr>
          <w:ilvl w:val="0"/>
          <w:numId w:val="1005"/>
        </w:numPr>
      </w:pPr>
      <w:r>
        <w:t xml:space="preserve">automated tests do not require LIVE trading</w:t>
      </w:r>
    </w:p>
    <w:p>
      <w:pPr>
        <w:pStyle w:val="FirstParagraph"/>
      </w:pPr>
      <w:r>
        <w:t xml:space="preserve">Trading-critical infrastructure shall not rely solely on logs as authoritative business state.</w:t>
      </w:r>
    </w:p>
    <w:p>
      <w:r>
        <w:pict>
          <v:rect style="width:0;height:1.5pt" o:hralign="center" o:hrstd="t" o:hr="t"/>
        </w:pict>
      </w:r>
    </w:p>
    <w:bookmarkEnd w:id="15"/>
    <w:bookmarkStart w:id="16" w:name="phase-2-market-monitoring"/>
    <w:p>
      <w:pPr>
        <w:pStyle w:val="Heading1"/>
      </w:pPr>
      <w:r>
        <w:t xml:space="preserve">Phase 2 – Market Monitoring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the market observation capabilities required by the Trading Cockpit.</w:t>
      </w:r>
    </w:p>
    <w:p>
      <w:pPr>
        <w:pStyle w:val="BodyText"/>
      </w:pPr>
      <w:r>
        <w:t xml:space="preserve">Primary capabilities:</w:t>
      </w:r>
    </w:p>
    <w:p>
      <w:pPr>
        <w:pStyle w:val="Compact"/>
        <w:numPr>
          <w:ilvl w:val="0"/>
          <w:numId w:val="1006"/>
        </w:numPr>
      </w:pPr>
      <w:r>
        <w:t xml:space="preserve">market data connectivity</w:t>
      </w:r>
    </w:p>
    <w:p>
      <w:pPr>
        <w:pStyle w:val="Compact"/>
        <w:numPr>
          <w:ilvl w:val="0"/>
          <w:numId w:val="1006"/>
        </w:numPr>
      </w:pPr>
      <w:r>
        <w:t xml:space="preserve">quote retrieval</w:t>
      </w:r>
    </w:p>
    <w:p>
      <w:pPr>
        <w:pStyle w:val="Compact"/>
        <w:numPr>
          <w:ilvl w:val="0"/>
          <w:numId w:val="1006"/>
        </w:numPr>
      </w:pPr>
      <w:r>
        <w:t xml:space="preserve">quote subscriptions</w:t>
      </w:r>
    </w:p>
    <w:p>
      <w:pPr>
        <w:pStyle w:val="Compact"/>
        <w:numPr>
          <w:ilvl w:val="0"/>
          <w:numId w:val="1006"/>
        </w:numPr>
      </w:pPr>
      <w:r>
        <w:t xml:space="preserve">source timestamps</w:t>
      </w:r>
    </w:p>
    <w:p>
      <w:pPr>
        <w:pStyle w:val="Compact"/>
        <w:numPr>
          <w:ilvl w:val="0"/>
          <w:numId w:val="1006"/>
        </w:numPr>
      </w:pPr>
      <w:r>
        <w:t xml:space="preserve">freshness state</w:t>
      </w:r>
    </w:p>
    <w:p>
      <w:pPr>
        <w:pStyle w:val="Compact"/>
        <w:numPr>
          <w:ilvl w:val="0"/>
          <w:numId w:val="1006"/>
        </w:numPr>
      </w:pPr>
      <w:r>
        <w:t xml:space="preserve">stale data handling</w:t>
      </w:r>
    </w:p>
    <w:p>
      <w:pPr>
        <w:pStyle w:val="Compact"/>
        <w:numPr>
          <w:ilvl w:val="0"/>
          <w:numId w:val="1006"/>
        </w:numPr>
      </w:pPr>
      <w:r>
        <w:t xml:space="preserve">unavailable data handling</w:t>
      </w:r>
    </w:p>
    <w:p>
      <w:pPr>
        <w:pStyle w:val="Compact"/>
        <w:numPr>
          <w:ilvl w:val="0"/>
          <w:numId w:val="1006"/>
        </w:numPr>
      </w:pPr>
      <w:r>
        <w:t xml:space="preserve">watchlists</w:t>
      </w:r>
    </w:p>
    <w:p>
      <w:pPr>
        <w:pStyle w:val="Compact"/>
        <w:numPr>
          <w:ilvl w:val="0"/>
          <w:numId w:val="1006"/>
        </w:numPr>
      </w:pPr>
      <w:r>
        <w:t xml:space="preserve">market overview</w:t>
      </w:r>
    </w:p>
    <w:p>
      <w:pPr>
        <w:pStyle w:val="Compact"/>
        <w:numPr>
          <w:ilvl w:val="0"/>
          <w:numId w:val="1006"/>
        </w:numPr>
      </w:pPr>
      <w:r>
        <w:t xml:space="preserve">scanner foundations</w:t>
      </w:r>
    </w:p>
    <w:p>
      <w:pPr>
        <w:pStyle w:val="Compact"/>
        <w:numPr>
          <w:ilvl w:val="0"/>
          <w:numId w:val="1006"/>
        </w:numPr>
      </w:pPr>
      <w:r>
        <w:t xml:space="preserve">market monitoring presentation</w:t>
      </w:r>
    </w:p>
    <w:p>
      <w:pPr>
        <w:pStyle w:val="FirstParagraph"/>
      </w:pPr>
      <w:r>
        <w:t xml:space="preserve">Required technical outcomes:</w:t>
      </w:r>
    </w:p>
    <w:p>
      <w:pPr>
        <w:pStyle w:val="Compact"/>
        <w:numPr>
          <w:ilvl w:val="0"/>
          <w:numId w:val="1007"/>
        </w:numPr>
      </w:pPr>
      <w:r>
        <w:t xml:space="preserve">provider models remain in Infrastructure</w:t>
      </w:r>
    </w:p>
    <w:p>
      <w:pPr>
        <w:pStyle w:val="Compact"/>
        <w:numPr>
          <w:ilvl w:val="0"/>
          <w:numId w:val="1007"/>
        </w:numPr>
      </w:pPr>
      <w:r>
        <w:t xml:space="preserve">market data ports expose project-owned contracts</w:t>
      </w:r>
    </w:p>
    <w:p>
      <w:pPr>
        <w:pStyle w:val="Compact"/>
        <w:numPr>
          <w:ilvl w:val="0"/>
          <w:numId w:val="1007"/>
        </w:numPr>
      </w:pPr>
      <w:r>
        <w:t xml:space="preserve">source timestamps are preserved</w:t>
      </w:r>
    </w:p>
    <w:p>
      <w:pPr>
        <w:pStyle w:val="Compact"/>
        <w:numPr>
          <w:ilvl w:val="0"/>
          <w:numId w:val="1007"/>
        </w:numPr>
      </w:pPr>
      <w:r>
        <w:t xml:space="preserve">current, stale, unavailable and disconnected states remain distinguishable</w:t>
      </w:r>
    </w:p>
    <w:p>
      <w:pPr>
        <w:pStyle w:val="Compact"/>
        <w:numPr>
          <w:ilvl w:val="0"/>
          <w:numId w:val="1007"/>
        </w:numPr>
      </w:pPr>
      <w:r>
        <w:t xml:space="preserve">subscriptions have explicit lifecycle ownership</w:t>
      </w:r>
    </w:p>
    <w:p>
      <w:pPr>
        <w:pStyle w:val="Compact"/>
        <w:numPr>
          <w:ilvl w:val="0"/>
          <w:numId w:val="1007"/>
        </w:numPr>
      </w:pPr>
      <w:r>
        <w:t xml:space="preserve">active subscriptions can be closed deterministically</w:t>
      </w:r>
    </w:p>
    <w:p>
      <w:pPr>
        <w:pStyle w:val="Compact"/>
        <w:numPr>
          <w:ilvl w:val="0"/>
          <w:numId w:val="1007"/>
        </w:numPr>
      </w:pPr>
      <w:r>
        <w:t xml:space="preserve">cached data does not silently appear as current provider data</w:t>
      </w:r>
    </w:p>
    <w:p>
      <w:pPr>
        <w:pStyle w:val="FirstParagraph"/>
      </w:pPr>
      <w:r>
        <w:t xml:space="preserve">Market monitoring shall not contain trading decision rules.</w:t>
      </w:r>
    </w:p>
    <w:p>
      <w:r>
        <w:pict>
          <v:rect style="width:0;height:1.5pt" o:hralign="center" o:hrstd="t" o:hr="t"/>
        </w:pict>
      </w:r>
    </w:p>
    <w:bookmarkEnd w:id="16"/>
    <w:bookmarkStart w:id="17" w:name="phase-2-validation"/>
    <w:p>
      <w:pPr>
        <w:pStyle w:val="Heading1"/>
      </w:pPr>
      <w:r>
        <w:t xml:space="preserve">Phase 2 Validation</w:t>
      </w:r>
    </w:p>
    <w:p>
      <w:pPr>
        <w:pStyle w:val="FirstParagraph"/>
      </w:pPr>
      <w:r>
        <w:t xml:space="preserve">Required validation includes where implemented:</w:t>
      </w:r>
    </w:p>
    <w:p>
      <w:pPr>
        <w:pStyle w:val="Compact"/>
        <w:numPr>
          <w:ilvl w:val="0"/>
          <w:numId w:val="1008"/>
        </w:numPr>
      </w:pPr>
      <w:r>
        <w:t xml:space="preserve">quote translation tests</w:t>
      </w:r>
    </w:p>
    <w:p>
      <w:pPr>
        <w:pStyle w:val="Compact"/>
        <w:numPr>
          <w:ilvl w:val="0"/>
          <w:numId w:val="1008"/>
        </w:numPr>
      </w:pPr>
      <w:r>
        <w:t xml:space="preserve">unavailable data tests</w:t>
      </w:r>
    </w:p>
    <w:p>
      <w:pPr>
        <w:pStyle w:val="Compact"/>
        <w:numPr>
          <w:ilvl w:val="0"/>
          <w:numId w:val="1008"/>
        </w:numPr>
      </w:pPr>
      <w:r>
        <w:t xml:space="preserve">stale data tests</w:t>
      </w:r>
    </w:p>
    <w:p>
      <w:pPr>
        <w:pStyle w:val="Compact"/>
        <w:numPr>
          <w:ilvl w:val="0"/>
          <w:numId w:val="1008"/>
        </w:numPr>
      </w:pPr>
      <w:r>
        <w:t xml:space="preserve">connection state tests</w:t>
      </w:r>
    </w:p>
    <w:p>
      <w:pPr>
        <w:pStyle w:val="Compact"/>
        <w:numPr>
          <w:ilvl w:val="0"/>
          <w:numId w:val="1008"/>
        </w:numPr>
      </w:pPr>
      <w:r>
        <w:t xml:space="preserve">subscription activation tests</w:t>
      </w:r>
    </w:p>
    <w:p>
      <w:pPr>
        <w:pStyle w:val="Compact"/>
        <w:numPr>
          <w:ilvl w:val="0"/>
          <w:numId w:val="1008"/>
        </w:numPr>
      </w:pPr>
      <w:r>
        <w:t xml:space="preserve">subscription failure tests</w:t>
      </w:r>
    </w:p>
    <w:p>
      <w:pPr>
        <w:pStyle w:val="Compact"/>
        <w:numPr>
          <w:ilvl w:val="0"/>
          <w:numId w:val="1008"/>
        </w:numPr>
      </w:pPr>
      <w:r>
        <w:t xml:space="preserve">subscription closure tests</w:t>
      </w:r>
    </w:p>
    <w:p>
      <w:pPr>
        <w:pStyle w:val="Compact"/>
        <w:numPr>
          <w:ilvl w:val="0"/>
          <w:numId w:val="1008"/>
        </w:numPr>
      </w:pPr>
      <w:r>
        <w:t xml:space="preserve">runtime lifecycle tests</w:t>
      </w:r>
    </w:p>
    <w:p>
      <w:pPr>
        <w:pStyle w:val="Compact"/>
        <w:numPr>
          <w:ilvl w:val="0"/>
          <w:numId w:val="1008"/>
        </w:numPr>
      </w:pPr>
      <w:r>
        <w:t xml:space="preserve">controlled shutdown tests</w:t>
      </w:r>
    </w:p>
    <w:p>
      <w:pPr>
        <w:pStyle w:val="FirstParagraph"/>
      </w:pPr>
      <w:r>
        <w:t xml:space="preserve">PAPER or controlled provider validation may supplement deterministic tests.</w:t>
      </w:r>
    </w:p>
    <w:p>
      <w:r>
        <w:pict>
          <v:rect style="width:0;height:1.5pt" o:hralign="center" o:hrstd="t" o:hr="t"/>
        </w:pict>
      </w:r>
    </w:p>
    <w:bookmarkEnd w:id="17"/>
    <w:bookmarkStart w:id="18" w:name="phase-3-decision-center"/>
    <w:p>
      <w:pPr>
        <w:pStyle w:val="Heading1"/>
      </w:pPr>
      <w:r>
        <w:t xml:space="preserve">Phase 3 – Decision Center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explicit Trading Cockpit decision workflows.</w:t>
      </w:r>
    </w:p>
    <w:p>
      <w:pPr>
        <w:pStyle w:val="BodyText"/>
      </w:pPr>
      <w:r>
        <w:t xml:space="preserve">Primary capabilities:</w:t>
      </w:r>
    </w:p>
    <w:p>
      <w:pPr>
        <w:pStyle w:val="Compact"/>
        <w:numPr>
          <w:ilvl w:val="0"/>
          <w:numId w:val="1009"/>
        </w:numPr>
      </w:pPr>
      <w:r>
        <w:t xml:space="preserve">Trading Candidates</w:t>
      </w:r>
    </w:p>
    <w:p>
      <w:pPr>
        <w:pStyle w:val="Compact"/>
        <w:numPr>
          <w:ilvl w:val="0"/>
          <w:numId w:val="1009"/>
        </w:numPr>
      </w:pPr>
      <w:r>
        <w:t xml:space="preserve">candidate review</w:t>
      </w:r>
    </w:p>
    <w:p>
      <w:pPr>
        <w:pStyle w:val="Compact"/>
        <w:numPr>
          <w:ilvl w:val="0"/>
          <w:numId w:val="1009"/>
        </w:numPr>
      </w:pPr>
      <w:r>
        <w:t xml:space="preserve">candidate lifecycle</w:t>
      </w:r>
    </w:p>
    <w:p>
      <w:pPr>
        <w:pStyle w:val="Compact"/>
        <w:numPr>
          <w:ilvl w:val="0"/>
          <w:numId w:val="1009"/>
        </w:numPr>
      </w:pPr>
      <w:r>
        <w:t xml:space="preserve">Trading Decisions</w:t>
      </w:r>
    </w:p>
    <w:p>
      <w:pPr>
        <w:pStyle w:val="Compact"/>
        <w:numPr>
          <w:ilvl w:val="0"/>
          <w:numId w:val="1009"/>
        </w:numPr>
      </w:pPr>
      <w:r>
        <w:t xml:space="preserve">decision rationale</w:t>
      </w:r>
    </w:p>
    <w:p>
      <w:pPr>
        <w:pStyle w:val="Compact"/>
        <w:numPr>
          <w:ilvl w:val="0"/>
          <w:numId w:val="1009"/>
        </w:numPr>
      </w:pPr>
      <w:r>
        <w:t xml:space="preserve">decision state</w:t>
      </w:r>
    </w:p>
    <w:p>
      <w:pPr>
        <w:pStyle w:val="Compact"/>
        <w:numPr>
          <w:ilvl w:val="0"/>
          <w:numId w:val="1009"/>
        </w:numPr>
      </w:pPr>
      <w:r>
        <w:t xml:space="preserve">decision presentation</w:t>
      </w:r>
    </w:p>
    <w:p>
      <w:pPr>
        <w:pStyle w:val="Compact"/>
        <w:numPr>
          <w:ilvl w:val="0"/>
          <w:numId w:val="1009"/>
        </w:numPr>
      </w:pPr>
      <w:r>
        <w:t xml:space="preserve">decision history</w:t>
      </w:r>
    </w:p>
    <w:p>
      <w:pPr>
        <w:pStyle w:val="FirstParagraph"/>
      </w:pPr>
      <w:r>
        <w:t xml:space="preserve">Required technical outcomes:</w:t>
      </w:r>
    </w:p>
    <w:p>
      <w:pPr>
        <w:pStyle w:val="Compact"/>
        <w:numPr>
          <w:ilvl w:val="0"/>
          <w:numId w:val="1010"/>
        </w:numPr>
      </w:pPr>
      <w:r>
        <w:t xml:space="preserve">Trading Candidate and Trading Decision remain separate Domain concepts</w:t>
      </w:r>
    </w:p>
    <w:p>
      <w:pPr>
        <w:pStyle w:val="Compact"/>
        <w:numPr>
          <w:ilvl w:val="0"/>
          <w:numId w:val="1010"/>
        </w:numPr>
      </w:pPr>
      <w:r>
        <w:t xml:space="preserve">candidate review is Application-owned</w:t>
      </w:r>
    </w:p>
    <w:p>
      <w:pPr>
        <w:pStyle w:val="Compact"/>
        <w:numPr>
          <w:ilvl w:val="0"/>
          <w:numId w:val="1010"/>
        </w:numPr>
      </w:pPr>
      <w:r>
        <w:t xml:space="preserve">decision workflows are explicit</w:t>
      </w:r>
    </w:p>
    <w:p>
      <w:pPr>
        <w:pStyle w:val="Compact"/>
        <w:numPr>
          <w:ilvl w:val="0"/>
          <w:numId w:val="1010"/>
        </w:numPr>
      </w:pPr>
      <w:r>
        <w:t xml:space="preserve">state transitions are deterministic</w:t>
      </w:r>
    </w:p>
    <w:p>
      <w:pPr>
        <w:pStyle w:val="Compact"/>
        <w:numPr>
          <w:ilvl w:val="0"/>
          <w:numId w:val="1010"/>
        </w:numPr>
      </w:pPr>
      <w:r>
        <w:t xml:space="preserve">rationale remains traceable</w:t>
      </w:r>
    </w:p>
    <w:p>
      <w:pPr>
        <w:pStyle w:val="Compact"/>
        <w:numPr>
          <w:ilvl w:val="0"/>
          <w:numId w:val="1010"/>
        </w:numPr>
      </w:pPr>
      <w:r>
        <w:t xml:space="preserve">presentation does not implement trading rules</w:t>
      </w:r>
    </w:p>
    <w:p>
      <w:pPr>
        <w:pStyle w:val="Compact"/>
        <w:numPr>
          <w:ilvl w:val="0"/>
          <w:numId w:val="1010"/>
        </w:numPr>
      </w:pPr>
      <w:r>
        <w:t xml:space="preserve">provider data does not leak directly into Domain decisions</w:t>
      </w:r>
    </w:p>
    <w:p>
      <w:pPr>
        <w:pStyle w:val="FirstParagraph"/>
      </w:pPr>
      <w:r>
        <w:t xml:space="preserve">A Trading Decision does not automatically imply order submission unless an explicit Application workflow owns that transition.</w:t>
      </w:r>
    </w:p>
    <w:p>
      <w:r>
        <w:pict>
          <v:rect style="width:0;height:1.5pt" o:hralign="center" o:hrstd="t" o:hr="t"/>
        </w:pict>
      </w:r>
    </w:p>
    <w:bookmarkEnd w:id="18"/>
    <w:bookmarkStart w:id="19" w:name="phase-3-validation"/>
    <w:p>
      <w:pPr>
        <w:pStyle w:val="Heading1"/>
      </w:pPr>
      <w:r>
        <w:t xml:space="preserve">Phase 3 Validation</w:t>
      </w:r>
    </w:p>
    <w:p>
      <w:pPr>
        <w:pStyle w:val="FirstParagraph"/>
      </w:pPr>
      <w:r>
        <w:t xml:space="preserve">Required validation includes where implemented:</w:t>
      </w:r>
    </w:p>
    <w:p>
      <w:pPr>
        <w:pStyle w:val="Compact"/>
        <w:numPr>
          <w:ilvl w:val="0"/>
          <w:numId w:val="1011"/>
        </w:numPr>
      </w:pPr>
      <w:r>
        <w:t xml:space="preserve">candidate lifecycle tests</w:t>
      </w:r>
    </w:p>
    <w:p>
      <w:pPr>
        <w:pStyle w:val="Compact"/>
        <w:numPr>
          <w:ilvl w:val="0"/>
          <w:numId w:val="1011"/>
        </w:numPr>
      </w:pPr>
      <w:r>
        <w:t xml:space="preserve">decision lifecycle tests</w:t>
      </w:r>
    </w:p>
    <w:p>
      <w:pPr>
        <w:pStyle w:val="Compact"/>
        <w:numPr>
          <w:ilvl w:val="0"/>
          <w:numId w:val="1011"/>
        </w:numPr>
      </w:pPr>
      <w:r>
        <w:t xml:space="preserve">valid state transition tests</w:t>
      </w:r>
    </w:p>
    <w:p>
      <w:pPr>
        <w:pStyle w:val="Compact"/>
        <w:numPr>
          <w:ilvl w:val="0"/>
          <w:numId w:val="1011"/>
        </w:numPr>
      </w:pPr>
      <w:r>
        <w:t xml:space="preserve">invalid state transition tests</w:t>
      </w:r>
    </w:p>
    <w:p>
      <w:pPr>
        <w:pStyle w:val="Compact"/>
        <w:numPr>
          <w:ilvl w:val="0"/>
          <w:numId w:val="1011"/>
        </w:numPr>
      </w:pPr>
      <w:r>
        <w:t xml:space="preserve">Application workflow tests</w:t>
      </w:r>
    </w:p>
    <w:p>
      <w:pPr>
        <w:pStyle w:val="Compact"/>
        <w:numPr>
          <w:ilvl w:val="0"/>
          <w:numId w:val="1011"/>
        </w:numPr>
      </w:pPr>
      <w:r>
        <w:t xml:space="preserve">persistence tests</w:t>
      </w:r>
    </w:p>
    <w:p>
      <w:pPr>
        <w:pStyle w:val="Compact"/>
        <w:numPr>
          <w:ilvl w:val="0"/>
          <w:numId w:val="1011"/>
        </w:numPr>
      </w:pPr>
      <w:r>
        <w:t xml:space="preserve">presentation interaction tests</w:t>
      </w:r>
    </w:p>
    <w:p>
      <w:pPr>
        <w:pStyle w:val="FirstParagraph"/>
      </w:pPr>
      <w:r>
        <w:t xml:space="preserve">Decision tests shall use deterministic market and time inputs.</w:t>
      </w:r>
    </w:p>
    <w:p>
      <w:r>
        <w:pict>
          <v:rect style="width:0;height:1.5pt" o:hralign="center" o:hrstd="t" o:hr="t"/>
        </w:pict>
      </w:r>
    </w:p>
    <w:bookmarkEnd w:id="19"/>
    <w:bookmarkStart w:id="20" w:name="phase-4-order-management"/>
    <w:p>
      <w:pPr>
        <w:pStyle w:val="Heading1"/>
      </w:pPr>
      <w:r>
        <w:t xml:space="preserve">Phase 4 – Order Management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safe and explicit order workflows.</w:t>
      </w:r>
    </w:p>
    <w:p>
      <w:pPr>
        <w:pStyle w:val="BodyText"/>
      </w:pPr>
      <w:r>
        <w:t xml:space="preserve">Primary capabilities:</w:t>
      </w:r>
    </w:p>
    <w:p>
      <w:pPr>
        <w:pStyle w:val="Compact"/>
        <w:numPr>
          <w:ilvl w:val="0"/>
          <w:numId w:val="1012"/>
        </w:numPr>
      </w:pPr>
      <w:r>
        <w:t xml:space="preserve">order creation</w:t>
      </w:r>
    </w:p>
    <w:p>
      <w:pPr>
        <w:pStyle w:val="Compact"/>
        <w:numPr>
          <w:ilvl w:val="0"/>
          <w:numId w:val="1012"/>
        </w:numPr>
      </w:pPr>
      <w:r>
        <w:t xml:space="preserve">order validation</w:t>
      </w:r>
    </w:p>
    <w:p>
      <w:pPr>
        <w:pStyle w:val="Compact"/>
        <w:numPr>
          <w:ilvl w:val="0"/>
          <w:numId w:val="1012"/>
        </w:numPr>
      </w:pPr>
      <w:r>
        <w:t xml:space="preserve">order submission</w:t>
      </w:r>
    </w:p>
    <w:p>
      <w:pPr>
        <w:pStyle w:val="Compact"/>
        <w:numPr>
          <w:ilvl w:val="0"/>
          <w:numId w:val="1012"/>
        </w:numPr>
      </w:pPr>
      <w:r>
        <w:t xml:space="preserve">broker acknowledgement</w:t>
      </w:r>
    </w:p>
    <w:p>
      <w:pPr>
        <w:pStyle w:val="Compact"/>
        <w:numPr>
          <w:ilvl w:val="0"/>
          <w:numId w:val="1012"/>
        </w:numPr>
      </w:pPr>
      <w:r>
        <w:t xml:space="preserve">broker rejection</w:t>
      </w:r>
    </w:p>
    <w:p>
      <w:pPr>
        <w:pStyle w:val="Compact"/>
        <w:numPr>
          <w:ilvl w:val="0"/>
          <w:numId w:val="1012"/>
        </w:numPr>
      </w:pPr>
      <w:r>
        <w:t xml:space="preserve">partial fill processing</w:t>
      </w:r>
    </w:p>
    <w:p>
      <w:pPr>
        <w:pStyle w:val="Compact"/>
        <w:numPr>
          <w:ilvl w:val="0"/>
          <w:numId w:val="1012"/>
        </w:numPr>
      </w:pPr>
      <w:r>
        <w:t xml:space="preserve">fill processing</w:t>
      </w:r>
    </w:p>
    <w:p>
      <w:pPr>
        <w:pStyle w:val="Compact"/>
        <w:numPr>
          <w:ilvl w:val="0"/>
          <w:numId w:val="1012"/>
        </w:numPr>
      </w:pPr>
      <w:r>
        <w:t xml:space="preserve">order cancellation</w:t>
      </w:r>
    </w:p>
    <w:p>
      <w:pPr>
        <w:pStyle w:val="Compact"/>
        <w:numPr>
          <w:ilvl w:val="0"/>
          <w:numId w:val="1012"/>
        </w:numPr>
      </w:pPr>
      <w:r>
        <w:t xml:space="preserve">order history</w:t>
      </w:r>
    </w:p>
    <w:p>
      <w:pPr>
        <w:pStyle w:val="Compact"/>
        <w:numPr>
          <w:ilvl w:val="0"/>
          <w:numId w:val="1012"/>
        </w:numPr>
      </w:pPr>
      <w:r>
        <w:t xml:space="preserve">order presentation</w:t>
      </w:r>
    </w:p>
    <w:p>
      <w:pPr>
        <w:pStyle w:val="FirstParagraph"/>
      </w:pPr>
      <w:r>
        <w:t xml:space="preserve">Order Management is trading-critical.</w:t>
      </w:r>
    </w:p>
    <w:p>
      <w:r>
        <w:pict>
          <v:rect style="width:0;height:1.5pt" o:hralign="center" o:hrstd="t" o:hr="t"/>
        </w:pict>
      </w:r>
    </w:p>
    <w:bookmarkEnd w:id="20"/>
    <w:bookmarkStart w:id="21" w:name="phase-4-order-lifecycle"/>
    <w:p>
      <w:pPr>
        <w:pStyle w:val="Heading1"/>
      </w:pPr>
      <w:r>
        <w:t xml:space="preserve">Phase 4 Order Lifecycle</w:t>
      </w:r>
    </w:p>
    <w:p>
      <w:pPr>
        <w:pStyle w:val="FirstParagraph"/>
      </w:pPr>
      <w:r>
        <w:t xml:space="preserve">The order workflow shall preserve relevant lifecycle distinctions.</w:t>
      </w:r>
    </w:p>
    <w:p>
      <w:pPr>
        <w:pStyle w:val="SourceCode"/>
      </w:pPr>
      <w:r>
        <w:rPr>
          <w:rStyle w:val="VerbatimChar"/>
        </w:rPr>
        <w:t xml:space="preserve">Submission Requested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Transmitted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Acknowledged or Rejected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Partially Filled or Filled</w:t>
      </w:r>
    </w:p>
    <w:p>
      <w:pPr>
        <w:pStyle w:val="FirstParagraph"/>
      </w:pPr>
      <w:r>
        <w:t xml:space="preserve">Cancellation introduces separate explicit states where required.</w:t>
      </w:r>
    </w:p>
    <w:p>
      <w:pPr>
        <w:pStyle w:val="BodyText"/>
      </w:pPr>
      <w:r>
        <w:t xml:space="preserve">A successful adapter method call does not automatically mean broker acknowledgement.</w:t>
      </w:r>
    </w:p>
    <w:p>
      <w:pPr>
        <w:pStyle w:val="BodyText"/>
      </w:pPr>
      <w:r>
        <w:t xml:space="preserve">Broker acknowledgement requires broker-derived state.</w:t>
      </w:r>
    </w:p>
    <w:p>
      <w:r>
        <w:pict>
          <v:rect style="width:0;height:1.5pt" o:hralign="center" o:hrstd="t" o:hr="t"/>
        </w:pict>
      </w:r>
    </w:p>
    <w:bookmarkEnd w:id="21"/>
    <w:bookmarkStart w:id="22" w:name="phase-4-duplicate-submission-protection"/>
    <w:p>
      <w:pPr>
        <w:pStyle w:val="Heading1"/>
      </w:pPr>
      <w:r>
        <w:t xml:space="preserve">Phase 4 Duplicate Submission Protection</w:t>
      </w:r>
    </w:p>
    <w:p>
      <w:pPr>
        <w:pStyle w:val="FirstParagraph"/>
      </w:pPr>
      <w:r>
        <w:t xml:space="preserve">Before order submission is operationally mature, the workflow shall address:</w:t>
      </w:r>
    </w:p>
    <w:p>
      <w:pPr>
        <w:pStyle w:val="Compact"/>
        <w:numPr>
          <w:ilvl w:val="0"/>
          <w:numId w:val="1013"/>
        </w:numPr>
      </w:pPr>
      <w:r>
        <w:t xml:space="preserve">stable order identity</w:t>
      </w:r>
    </w:p>
    <w:p>
      <w:pPr>
        <w:pStyle w:val="Compact"/>
        <w:numPr>
          <w:ilvl w:val="0"/>
          <w:numId w:val="1013"/>
        </w:numPr>
      </w:pPr>
      <w:r>
        <w:t xml:space="preserve">stable submission identity</w:t>
      </w:r>
    </w:p>
    <w:p>
      <w:pPr>
        <w:pStyle w:val="Compact"/>
        <w:numPr>
          <w:ilvl w:val="0"/>
          <w:numId w:val="1013"/>
        </w:numPr>
      </w:pPr>
      <w:r>
        <w:t xml:space="preserve">repeated callbacks</w:t>
      </w:r>
    </w:p>
    <w:p>
      <w:pPr>
        <w:pStyle w:val="Compact"/>
        <w:numPr>
          <w:ilvl w:val="0"/>
          <w:numId w:val="1013"/>
        </w:numPr>
      </w:pPr>
      <w:r>
        <w:t xml:space="preserve">repeated broker messages</w:t>
      </w:r>
    </w:p>
    <w:p>
      <w:pPr>
        <w:pStyle w:val="Compact"/>
        <w:numPr>
          <w:ilvl w:val="0"/>
          <w:numId w:val="1013"/>
        </w:numPr>
      </w:pPr>
      <w:r>
        <w:t xml:space="preserve">timeout</w:t>
      </w:r>
    </w:p>
    <w:p>
      <w:pPr>
        <w:pStyle w:val="Compact"/>
        <w:numPr>
          <w:ilvl w:val="0"/>
          <w:numId w:val="1013"/>
        </w:numPr>
      </w:pPr>
      <w:r>
        <w:t xml:space="preserve">disconnect</w:t>
      </w:r>
    </w:p>
    <w:p>
      <w:pPr>
        <w:pStyle w:val="Compact"/>
        <w:numPr>
          <w:ilvl w:val="0"/>
          <w:numId w:val="1013"/>
        </w:numPr>
      </w:pPr>
      <w:r>
        <w:t xml:space="preserve">reconnect</w:t>
      </w:r>
    </w:p>
    <w:p>
      <w:pPr>
        <w:pStyle w:val="Compact"/>
        <w:numPr>
          <w:ilvl w:val="0"/>
          <w:numId w:val="1013"/>
        </w:numPr>
      </w:pPr>
      <w:r>
        <w:t xml:space="preserve">application restart</w:t>
      </w:r>
    </w:p>
    <w:p>
      <w:pPr>
        <w:pStyle w:val="Compact"/>
        <w:numPr>
          <w:ilvl w:val="0"/>
          <w:numId w:val="1013"/>
        </w:numPr>
      </w:pPr>
      <w:r>
        <w:t xml:space="preserve">recovery</w:t>
      </w:r>
    </w:p>
    <w:p>
      <w:pPr>
        <w:pStyle w:val="FirstParagraph"/>
      </w:pPr>
      <w:r>
        <w:t xml:space="preserve">Unknown external order state shall not automatically trigger resubmission.</w:t>
      </w:r>
    </w:p>
    <w:p>
      <w:pPr>
        <w:pStyle w:val="BodyText"/>
      </w:pPr>
      <w:r>
        <w:t xml:space="preserve">Automatic order submission retry is prohibited unless explicitly defined and approved by the owning Application workflow.</w:t>
      </w:r>
    </w:p>
    <w:p>
      <w:r>
        <w:pict>
          <v:rect style="width:0;height:1.5pt" o:hralign="center" o:hrstd="t" o:hr="t"/>
        </w:pict>
      </w:r>
    </w:p>
    <w:bookmarkEnd w:id="22"/>
    <w:bookmarkStart w:id="23" w:name="phase-4-validation"/>
    <w:p>
      <w:pPr>
        <w:pStyle w:val="Heading1"/>
      </w:pPr>
      <w:r>
        <w:t xml:space="preserve">Phase 4 Validation</w:t>
      </w:r>
    </w:p>
    <w:p>
      <w:pPr>
        <w:pStyle w:val="FirstParagraph"/>
      </w:pPr>
      <w:r>
        <w:t xml:space="preserve">Required regression scenarios include where implemented:</w:t>
      </w:r>
    </w:p>
    <w:p>
      <w:pPr>
        <w:pStyle w:val="Compact"/>
        <w:numPr>
          <w:ilvl w:val="0"/>
          <w:numId w:val="1014"/>
        </w:numPr>
      </w:pPr>
      <w:r>
        <w:t xml:space="preserve">valid order submission</w:t>
      </w:r>
    </w:p>
    <w:p>
      <w:pPr>
        <w:pStyle w:val="Compact"/>
        <w:numPr>
          <w:ilvl w:val="0"/>
          <w:numId w:val="1014"/>
        </w:numPr>
      </w:pPr>
      <w:r>
        <w:t xml:space="preserve">invalid order submission</w:t>
      </w:r>
    </w:p>
    <w:p>
      <w:pPr>
        <w:pStyle w:val="Compact"/>
        <w:numPr>
          <w:ilvl w:val="0"/>
          <w:numId w:val="1014"/>
        </w:numPr>
      </w:pPr>
      <w:r>
        <w:t xml:space="preserve">local validation failure</w:t>
      </w:r>
    </w:p>
    <w:p>
      <w:pPr>
        <w:pStyle w:val="Compact"/>
        <w:numPr>
          <w:ilvl w:val="0"/>
          <w:numId w:val="1014"/>
        </w:numPr>
      </w:pPr>
      <w:r>
        <w:t xml:space="preserve">transmission</w:t>
      </w:r>
    </w:p>
    <w:p>
      <w:pPr>
        <w:pStyle w:val="Compact"/>
        <w:numPr>
          <w:ilvl w:val="0"/>
          <w:numId w:val="1014"/>
        </w:numPr>
      </w:pPr>
      <w:r>
        <w:t xml:space="preserve">broker acknowledgement</w:t>
      </w:r>
    </w:p>
    <w:p>
      <w:pPr>
        <w:pStyle w:val="Compact"/>
        <w:numPr>
          <w:ilvl w:val="0"/>
          <w:numId w:val="1014"/>
        </w:numPr>
      </w:pPr>
      <w:r>
        <w:t xml:space="preserve">broker rejection</w:t>
      </w:r>
    </w:p>
    <w:p>
      <w:pPr>
        <w:pStyle w:val="Compact"/>
        <w:numPr>
          <w:ilvl w:val="0"/>
          <w:numId w:val="1014"/>
        </w:numPr>
      </w:pPr>
      <w:r>
        <w:t xml:space="preserve">timeout</w:t>
      </w:r>
    </w:p>
    <w:p>
      <w:pPr>
        <w:pStyle w:val="Compact"/>
        <w:numPr>
          <w:ilvl w:val="0"/>
          <w:numId w:val="1014"/>
        </w:numPr>
      </w:pPr>
      <w:r>
        <w:t xml:space="preserve">disconnect</w:t>
      </w:r>
    </w:p>
    <w:p>
      <w:pPr>
        <w:pStyle w:val="Compact"/>
        <w:numPr>
          <w:ilvl w:val="0"/>
          <w:numId w:val="1014"/>
        </w:numPr>
      </w:pPr>
      <w:r>
        <w:t xml:space="preserve">reconnect</w:t>
      </w:r>
    </w:p>
    <w:p>
      <w:pPr>
        <w:pStyle w:val="Compact"/>
        <w:numPr>
          <w:ilvl w:val="0"/>
          <w:numId w:val="1014"/>
        </w:numPr>
      </w:pPr>
      <w:r>
        <w:t xml:space="preserve">duplicate submission prevention</w:t>
      </w:r>
    </w:p>
    <w:p>
      <w:pPr>
        <w:pStyle w:val="Compact"/>
        <w:numPr>
          <w:ilvl w:val="0"/>
          <w:numId w:val="1014"/>
        </w:numPr>
      </w:pPr>
      <w:r>
        <w:t xml:space="preserve">repeated acknowledgement</w:t>
      </w:r>
    </w:p>
    <w:p>
      <w:pPr>
        <w:pStyle w:val="Compact"/>
        <w:numPr>
          <w:ilvl w:val="0"/>
          <w:numId w:val="1014"/>
        </w:numPr>
      </w:pPr>
      <w:r>
        <w:t xml:space="preserve">partial fill</w:t>
      </w:r>
    </w:p>
    <w:p>
      <w:pPr>
        <w:pStyle w:val="Compact"/>
        <w:numPr>
          <w:ilvl w:val="0"/>
          <w:numId w:val="1014"/>
        </w:numPr>
      </w:pPr>
      <w:r>
        <w:t xml:space="preserve">repeated execution message</w:t>
      </w:r>
    </w:p>
    <w:p>
      <w:pPr>
        <w:pStyle w:val="Compact"/>
        <w:numPr>
          <w:ilvl w:val="0"/>
          <w:numId w:val="1014"/>
        </w:numPr>
      </w:pPr>
      <w:r>
        <w:t xml:space="preserve">fill</w:t>
      </w:r>
    </w:p>
    <w:p>
      <w:pPr>
        <w:pStyle w:val="Compact"/>
        <w:numPr>
          <w:ilvl w:val="0"/>
          <w:numId w:val="1014"/>
        </w:numPr>
      </w:pPr>
      <w:r>
        <w:t xml:space="preserve">cancellation request</w:t>
      </w:r>
    </w:p>
    <w:p>
      <w:pPr>
        <w:pStyle w:val="Compact"/>
        <w:numPr>
          <w:ilvl w:val="0"/>
          <w:numId w:val="1014"/>
        </w:numPr>
      </w:pPr>
      <w:r>
        <w:t xml:space="preserve">cancellation acknowledgement</w:t>
      </w:r>
    </w:p>
    <w:p>
      <w:pPr>
        <w:pStyle w:val="Compact"/>
        <w:numPr>
          <w:ilvl w:val="0"/>
          <w:numId w:val="1014"/>
        </w:numPr>
      </w:pPr>
      <w:r>
        <w:t xml:space="preserve">execution during cancellation</w:t>
      </w:r>
    </w:p>
    <w:p>
      <w:pPr>
        <w:pStyle w:val="FirstParagraph"/>
      </w:pPr>
      <w:r>
        <w:t xml:space="preserve">Trading workflow regression tests are mandatory for implemented business-critical order scenarios.</w:t>
      </w:r>
    </w:p>
    <w:p>
      <w:pPr>
        <w:pStyle w:val="BodyText"/>
      </w:pPr>
      <w:r>
        <w:t xml:space="preserve">PAPER validation shall supplement, not replace, deterministic automated tests.</w:t>
      </w:r>
    </w:p>
    <w:p>
      <w:r>
        <w:pict>
          <v:rect style="width:0;height:1.5pt" o:hralign="center" o:hrstd="t" o:hr="t"/>
        </w:pict>
      </w:r>
    </w:p>
    <w:bookmarkEnd w:id="23"/>
    <w:bookmarkStart w:id="24" w:name="phase-5-portfolio-and-reconciliation"/>
    <w:p>
      <w:pPr>
        <w:pStyle w:val="Heading1"/>
      </w:pPr>
      <w:r>
        <w:t xml:space="preserve">Phase 5 – Portfolio and Reconciliation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deterministic portfolio state and explicit reconciliation workflows.</w:t>
      </w:r>
    </w:p>
    <w:p>
      <w:pPr>
        <w:pStyle w:val="BodyText"/>
      </w:pPr>
      <w:r>
        <w:t xml:space="preserve">Primary capabilities:</w:t>
      </w:r>
    </w:p>
    <w:p>
      <w:pPr>
        <w:pStyle w:val="Compact"/>
        <w:numPr>
          <w:ilvl w:val="0"/>
          <w:numId w:val="1015"/>
        </w:numPr>
      </w:pPr>
      <w:r>
        <w:t xml:space="preserve">positions</w:t>
      </w:r>
    </w:p>
    <w:p>
      <w:pPr>
        <w:pStyle w:val="Compact"/>
        <w:numPr>
          <w:ilvl w:val="0"/>
          <w:numId w:val="1015"/>
        </w:numPr>
      </w:pPr>
      <w:r>
        <w:t xml:space="preserve">position lifecycle</w:t>
      </w:r>
    </w:p>
    <w:p>
      <w:pPr>
        <w:pStyle w:val="Compact"/>
        <w:numPr>
          <w:ilvl w:val="0"/>
          <w:numId w:val="1015"/>
        </w:numPr>
      </w:pPr>
      <w:r>
        <w:t xml:space="preserve">portfolio state</w:t>
      </w:r>
    </w:p>
    <w:p>
      <w:pPr>
        <w:pStyle w:val="Compact"/>
        <w:numPr>
          <w:ilvl w:val="0"/>
          <w:numId w:val="1015"/>
        </w:numPr>
      </w:pPr>
      <w:r>
        <w:t xml:space="preserve">execution-derived position changes</w:t>
      </w:r>
    </w:p>
    <w:p>
      <w:pPr>
        <w:pStyle w:val="Compact"/>
        <w:numPr>
          <w:ilvl w:val="0"/>
          <w:numId w:val="1015"/>
        </w:numPr>
      </w:pPr>
      <w:r>
        <w:t xml:space="preserve">broker state comparison</w:t>
      </w:r>
    </w:p>
    <w:p>
      <w:pPr>
        <w:pStyle w:val="Compact"/>
        <w:numPr>
          <w:ilvl w:val="0"/>
          <w:numId w:val="1015"/>
        </w:numPr>
      </w:pPr>
      <w:r>
        <w:t xml:space="preserve">discrepancy detection</w:t>
      </w:r>
    </w:p>
    <w:p>
      <w:pPr>
        <w:pStyle w:val="Compact"/>
        <w:numPr>
          <w:ilvl w:val="0"/>
          <w:numId w:val="1015"/>
        </w:numPr>
      </w:pPr>
      <w:r>
        <w:t xml:space="preserve">discrepancy classification</w:t>
      </w:r>
    </w:p>
    <w:p>
      <w:pPr>
        <w:pStyle w:val="Compact"/>
        <w:numPr>
          <w:ilvl w:val="0"/>
          <w:numId w:val="1015"/>
        </w:numPr>
      </w:pPr>
      <w:r>
        <w:t xml:space="preserve">action-required state</w:t>
      </w:r>
    </w:p>
    <w:p>
      <w:pPr>
        <w:pStyle w:val="Compact"/>
        <w:numPr>
          <w:ilvl w:val="0"/>
          <w:numId w:val="1015"/>
        </w:numPr>
      </w:pPr>
      <w:r>
        <w:t xml:space="preserve">reconciliation presentation</w:t>
      </w:r>
    </w:p>
    <w:p>
      <w:pPr>
        <w:pStyle w:val="FirstParagraph"/>
      </w:pPr>
      <w:r>
        <w:t xml:space="preserve">Required technical outcomes:</w:t>
      </w:r>
    </w:p>
    <w:p>
      <w:pPr>
        <w:pStyle w:val="Compact"/>
        <w:numPr>
          <w:ilvl w:val="0"/>
          <w:numId w:val="1016"/>
        </w:numPr>
      </w:pPr>
      <w:r>
        <w:t xml:space="preserve">local business state remains explicit</w:t>
      </w:r>
    </w:p>
    <w:p>
      <w:pPr>
        <w:pStyle w:val="Compact"/>
        <w:numPr>
          <w:ilvl w:val="0"/>
          <w:numId w:val="1016"/>
        </w:numPr>
      </w:pPr>
      <w:r>
        <w:t xml:space="preserve">broker state remains externally derived state</w:t>
      </w:r>
    </w:p>
    <w:p>
      <w:pPr>
        <w:pStyle w:val="Compact"/>
        <w:numPr>
          <w:ilvl w:val="0"/>
          <w:numId w:val="1016"/>
        </w:numPr>
      </w:pPr>
      <w:r>
        <w:t xml:space="preserve">position state is not inferred from UI state</w:t>
      </w:r>
    </w:p>
    <w:p>
      <w:pPr>
        <w:pStyle w:val="Compact"/>
        <w:numPr>
          <w:ilvl w:val="0"/>
          <w:numId w:val="1016"/>
        </w:numPr>
      </w:pPr>
      <w:r>
        <w:t xml:space="preserve">reconciliation observation is separated from repair</w:t>
      </w:r>
    </w:p>
    <w:p>
      <w:pPr>
        <w:pStyle w:val="Compact"/>
        <w:numPr>
          <w:ilvl w:val="0"/>
          <w:numId w:val="1016"/>
        </w:numPr>
      </w:pPr>
      <w:r>
        <w:t xml:space="preserve">monitoring does not repair Domain state</w:t>
      </w:r>
    </w:p>
    <w:p>
      <w:pPr>
        <w:pStyle w:val="Compact"/>
        <w:numPr>
          <w:ilvl w:val="0"/>
          <w:numId w:val="1016"/>
        </w:numPr>
      </w:pPr>
      <w:r>
        <w:t xml:space="preserve">logging does not repair Domain state</w:t>
      </w:r>
    </w:p>
    <w:p>
      <w:r>
        <w:pict>
          <v:rect style="width:0;height:1.5pt" o:hralign="center" o:hrstd="t" o:hr="t"/>
        </w:pict>
      </w:r>
    </w:p>
    <w:bookmarkEnd w:id="24"/>
    <w:bookmarkStart w:id="25" w:name="phase-5-reconciliation"/>
    <w:p>
      <w:pPr>
        <w:pStyle w:val="Heading1"/>
      </w:pPr>
      <w:r>
        <w:t xml:space="preserve">Phase 5 Reconciliation</w:t>
      </w:r>
    </w:p>
    <w:p>
      <w:pPr>
        <w:pStyle w:val="FirstParagraph"/>
      </w:pPr>
      <w:r>
        <w:t xml:space="preserve">Reconciliation may identify:</w:t>
      </w:r>
    </w:p>
    <w:p>
      <w:pPr>
        <w:pStyle w:val="Compact"/>
        <w:numPr>
          <w:ilvl w:val="0"/>
          <w:numId w:val="1017"/>
        </w:numPr>
      </w:pPr>
      <w:r>
        <w:t xml:space="preserve">missing local order</w:t>
      </w:r>
    </w:p>
    <w:p>
      <w:pPr>
        <w:pStyle w:val="Compact"/>
        <w:numPr>
          <w:ilvl w:val="0"/>
          <w:numId w:val="1017"/>
        </w:numPr>
      </w:pPr>
      <w:r>
        <w:t xml:space="preserve">missing broker order</w:t>
      </w:r>
    </w:p>
    <w:p>
      <w:pPr>
        <w:pStyle w:val="Compact"/>
        <w:numPr>
          <w:ilvl w:val="0"/>
          <w:numId w:val="1017"/>
        </w:numPr>
      </w:pPr>
      <w:r>
        <w:t xml:space="preserve">order state mismatch</w:t>
      </w:r>
    </w:p>
    <w:p>
      <w:pPr>
        <w:pStyle w:val="Compact"/>
        <w:numPr>
          <w:ilvl w:val="0"/>
          <w:numId w:val="1017"/>
        </w:numPr>
      </w:pPr>
      <w:r>
        <w:t xml:space="preserve">position state mismatch</w:t>
      </w:r>
    </w:p>
    <w:p>
      <w:pPr>
        <w:pStyle w:val="Compact"/>
        <w:numPr>
          <w:ilvl w:val="0"/>
          <w:numId w:val="1017"/>
        </w:numPr>
      </w:pPr>
      <w:r>
        <w:t xml:space="preserve">quantity mismatch</w:t>
      </w:r>
    </w:p>
    <w:p>
      <w:pPr>
        <w:pStyle w:val="FirstParagraph"/>
      </w:pPr>
      <w:r>
        <w:t xml:space="preserve">The initial reconciliation workflow should:</w:t>
      </w:r>
    </w:p>
    <w:p>
      <w:pPr>
        <w:pStyle w:val="SourceCode"/>
      </w:pPr>
      <w:r>
        <w:rPr>
          <w:rStyle w:val="VerbatimChar"/>
        </w:rPr>
        <w:t xml:space="preserve">Load Local State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Load Broker State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Compare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Classify Discrepancy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Expose Action-Required State</w:t>
      </w:r>
    </w:p>
    <w:p>
      <w:pPr>
        <w:pStyle w:val="FirstParagraph"/>
      </w:pPr>
      <w:r>
        <w:t xml:space="preserve">Repair requires an explicit Application workflow.</w:t>
      </w:r>
    </w:p>
    <w:p>
      <w:pPr>
        <w:pStyle w:val="BodyText"/>
      </w:pPr>
      <w:r>
        <w:t xml:space="preserve">Do not silently rewrite business history.</w:t>
      </w:r>
    </w:p>
    <w:p>
      <w:r>
        <w:pict>
          <v:rect style="width:0;height:1.5pt" o:hralign="center" o:hrstd="t" o:hr="t"/>
        </w:pict>
      </w:r>
    </w:p>
    <w:bookmarkEnd w:id="25"/>
    <w:bookmarkStart w:id="26" w:name="phase-5-validation"/>
    <w:p>
      <w:pPr>
        <w:pStyle w:val="Heading1"/>
      </w:pPr>
      <w:r>
        <w:t xml:space="preserve">Phase 5 Validation</w:t>
      </w:r>
    </w:p>
    <w:p>
      <w:pPr>
        <w:pStyle w:val="FirstParagraph"/>
      </w:pPr>
      <w:r>
        <w:t xml:space="preserve">Required validation includes where implemented:</w:t>
      </w:r>
    </w:p>
    <w:p>
      <w:pPr>
        <w:pStyle w:val="Compact"/>
        <w:numPr>
          <w:ilvl w:val="0"/>
          <w:numId w:val="1018"/>
        </w:numPr>
      </w:pPr>
      <w:r>
        <w:t xml:space="preserve">position opening</w:t>
      </w:r>
    </w:p>
    <w:p>
      <w:pPr>
        <w:pStyle w:val="Compact"/>
        <w:numPr>
          <w:ilvl w:val="0"/>
          <w:numId w:val="1018"/>
        </w:numPr>
      </w:pPr>
      <w:r>
        <w:t xml:space="preserve">position update</w:t>
      </w:r>
    </w:p>
    <w:p>
      <w:pPr>
        <w:pStyle w:val="Compact"/>
        <w:numPr>
          <w:ilvl w:val="0"/>
          <w:numId w:val="1018"/>
        </w:numPr>
      </w:pPr>
      <w:r>
        <w:t xml:space="preserve">partial quantity changes</w:t>
      </w:r>
    </w:p>
    <w:p>
      <w:pPr>
        <w:pStyle w:val="Compact"/>
        <w:numPr>
          <w:ilvl w:val="0"/>
          <w:numId w:val="1018"/>
        </w:numPr>
      </w:pPr>
      <w:r>
        <w:t xml:space="preserve">position closing</w:t>
      </w:r>
    </w:p>
    <w:p>
      <w:pPr>
        <w:pStyle w:val="Compact"/>
        <w:numPr>
          <w:ilvl w:val="0"/>
          <w:numId w:val="1018"/>
        </w:numPr>
      </w:pPr>
      <w:r>
        <w:t xml:space="preserve">position persistence</w:t>
      </w:r>
    </w:p>
    <w:p>
      <w:pPr>
        <w:pStyle w:val="Compact"/>
        <w:numPr>
          <w:ilvl w:val="0"/>
          <w:numId w:val="1018"/>
        </w:numPr>
      </w:pPr>
      <w:r>
        <w:t xml:space="preserve">no-discrepancy reconciliation</w:t>
      </w:r>
    </w:p>
    <w:p>
      <w:pPr>
        <w:pStyle w:val="Compact"/>
        <w:numPr>
          <w:ilvl w:val="0"/>
          <w:numId w:val="1018"/>
        </w:numPr>
      </w:pPr>
      <w:r>
        <w:t xml:space="preserve">discrepancy detection</w:t>
      </w:r>
    </w:p>
    <w:p>
      <w:pPr>
        <w:pStyle w:val="Compact"/>
        <w:numPr>
          <w:ilvl w:val="0"/>
          <w:numId w:val="1018"/>
        </w:numPr>
      </w:pPr>
      <w:r>
        <w:t xml:space="preserve">discrepancy classification</w:t>
      </w:r>
    </w:p>
    <w:p>
      <w:pPr>
        <w:pStyle w:val="Compact"/>
        <w:numPr>
          <w:ilvl w:val="0"/>
          <w:numId w:val="1018"/>
        </w:numPr>
      </w:pPr>
      <w:r>
        <w:t xml:space="preserve">reconciliation failure</w:t>
      </w:r>
    </w:p>
    <w:p>
      <w:pPr>
        <w:pStyle w:val="Compact"/>
        <w:numPr>
          <w:ilvl w:val="0"/>
          <w:numId w:val="1018"/>
        </w:numPr>
      </w:pPr>
      <w:r>
        <w:t xml:space="preserve">repeated reconciliation invocation</w:t>
      </w:r>
    </w:p>
    <w:p>
      <w:pPr>
        <w:pStyle w:val="FirstParagraph"/>
      </w:pPr>
      <w:r>
        <w:t xml:space="preserve">If repair workflows are introduced, they require separate authorization and regression tests.</w:t>
      </w:r>
    </w:p>
    <w:p>
      <w:r>
        <w:pict>
          <v:rect style="width:0;height:1.5pt" o:hralign="center" o:hrstd="t" o:hr="t"/>
        </w:pict>
      </w:r>
    </w:p>
    <w:bookmarkEnd w:id="26"/>
    <w:bookmarkStart w:id="27" w:name="phase-6-risk-management"/>
    <w:p>
      <w:pPr>
        <w:pStyle w:val="Heading1"/>
      </w:pPr>
      <w:r>
        <w:t xml:space="preserve">Phase 6 – Risk Management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explicit risk capabilities based on implemented Trading Cockpit workflows.</w:t>
      </w:r>
    </w:p>
    <w:p>
      <w:pPr>
        <w:pStyle w:val="BodyText"/>
      </w:pPr>
      <w:r>
        <w:t xml:space="preserve">Primary capabilities may include:</w:t>
      </w:r>
    </w:p>
    <w:p>
      <w:pPr>
        <w:pStyle w:val="Compact"/>
        <w:numPr>
          <w:ilvl w:val="0"/>
          <w:numId w:val="1019"/>
        </w:numPr>
      </w:pPr>
      <w:r>
        <w:t xml:space="preserve">order risk validation</w:t>
      </w:r>
    </w:p>
    <w:p>
      <w:pPr>
        <w:pStyle w:val="Compact"/>
        <w:numPr>
          <w:ilvl w:val="0"/>
          <w:numId w:val="1019"/>
        </w:numPr>
      </w:pPr>
      <w:r>
        <w:t xml:space="preserve">position risk</w:t>
      </w:r>
    </w:p>
    <w:p>
      <w:pPr>
        <w:pStyle w:val="Compact"/>
        <w:numPr>
          <w:ilvl w:val="0"/>
          <w:numId w:val="1019"/>
        </w:numPr>
      </w:pPr>
      <w:r>
        <w:t xml:space="preserve">portfolio exposure</w:t>
      </w:r>
    </w:p>
    <w:p>
      <w:pPr>
        <w:pStyle w:val="Compact"/>
        <w:numPr>
          <w:ilvl w:val="0"/>
          <w:numId w:val="1019"/>
        </w:numPr>
      </w:pPr>
      <w:r>
        <w:t xml:space="preserve">concentration</w:t>
      </w:r>
    </w:p>
    <w:p>
      <w:pPr>
        <w:pStyle w:val="Compact"/>
        <w:numPr>
          <w:ilvl w:val="0"/>
          <w:numId w:val="1019"/>
        </w:numPr>
      </w:pPr>
      <w:r>
        <w:t xml:space="preserve">trading limits</w:t>
      </w:r>
    </w:p>
    <w:p>
      <w:pPr>
        <w:pStyle w:val="Compact"/>
        <w:numPr>
          <w:ilvl w:val="0"/>
          <w:numId w:val="1019"/>
        </w:numPr>
      </w:pPr>
      <w:r>
        <w:t xml:space="preserve">risk alerts</w:t>
      </w:r>
    </w:p>
    <w:p>
      <w:pPr>
        <w:pStyle w:val="Compact"/>
        <w:numPr>
          <w:ilvl w:val="0"/>
          <w:numId w:val="1019"/>
        </w:numPr>
      </w:pPr>
      <w:r>
        <w:t xml:space="preserve">risk presentation</w:t>
      </w:r>
    </w:p>
    <w:p>
      <w:pPr>
        <w:pStyle w:val="FirstParagraph"/>
      </w:pPr>
      <w:r>
        <w:t xml:space="preserve">Risk Management shall evolve from concrete Trading Cockpit requirements.</w:t>
      </w:r>
    </w:p>
    <w:p>
      <w:pPr>
        <w:pStyle w:val="BodyText"/>
      </w:pPr>
      <w:r>
        <w:t xml:space="preserve">Do not build a generic enterprise risk framework without demonstrated product need.</w:t>
      </w:r>
    </w:p>
    <w:p>
      <w:r>
        <w:pict>
          <v:rect style="width:0;height:1.5pt" o:hralign="center" o:hrstd="t" o:hr="t"/>
        </w:pict>
      </w:r>
    </w:p>
    <w:bookmarkEnd w:id="27"/>
    <w:bookmarkStart w:id="28" w:name="phase-6-risk-ownership"/>
    <w:p>
      <w:pPr>
        <w:pStyle w:val="Heading1"/>
      </w:pPr>
      <w:r>
        <w:t xml:space="preserve">Phase 6 Risk Ownership</w:t>
      </w:r>
    </w:p>
    <w:p>
      <w:pPr>
        <w:pStyle w:val="FirstParagraph"/>
      </w:pPr>
      <w:r>
        <w:t xml:space="preserve">Risk rules belong to Domain or Application according to responsibility.</w:t>
      </w:r>
    </w:p>
    <w:p>
      <w:pPr>
        <w:pStyle w:val="BodyText"/>
      </w:pPr>
      <w:r>
        <w:t xml:space="preserve">Broker adapters shall not own:</w:t>
      </w:r>
    </w:p>
    <w:p>
      <w:pPr>
        <w:pStyle w:val="Compact"/>
        <w:numPr>
          <w:ilvl w:val="0"/>
          <w:numId w:val="1020"/>
        </w:numPr>
      </w:pPr>
      <w:r>
        <w:t xml:space="preserve">portfolio risk decisions</w:t>
      </w:r>
    </w:p>
    <w:p>
      <w:pPr>
        <w:pStyle w:val="Compact"/>
        <w:numPr>
          <w:ilvl w:val="0"/>
          <w:numId w:val="1020"/>
        </w:numPr>
      </w:pPr>
      <w:r>
        <w:t xml:space="preserve">candidate acceptance rules</w:t>
      </w:r>
    </w:p>
    <w:p>
      <w:pPr>
        <w:pStyle w:val="Compact"/>
        <w:numPr>
          <w:ilvl w:val="0"/>
          <w:numId w:val="1020"/>
        </w:numPr>
      </w:pPr>
      <w:r>
        <w:t xml:space="preserve">order risk policy</w:t>
      </w:r>
    </w:p>
    <w:p>
      <w:pPr>
        <w:pStyle w:val="FirstParagraph"/>
      </w:pPr>
      <w:r>
        <w:t xml:space="preserve">Presentation shall not implement risk decisions.</w:t>
      </w:r>
    </w:p>
    <w:p>
      <w:pPr>
        <w:pStyle w:val="BodyText"/>
      </w:pPr>
      <w:r>
        <w:t xml:space="preserve">Risk validation affecting order submission shall occur before the external order side effect.</w:t>
      </w:r>
    </w:p>
    <w:p>
      <w:r>
        <w:pict>
          <v:rect style="width:0;height:1.5pt" o:hralign="center" o:hrstd="t" o:hr="t"/>
        </w:pict>
      </w:r>
    </w:p>
    <w:bookmarkEnd w:id="28"/>
    <w:bookmarkStart w:id="29" w:name="phase-6-validation"/>
    <w:p>
      <w:pPr>
        <w:pStyle w:val="Heading1"/>
      </w:pPr>
      <w:r>
        <w:t xml:space="preserve">Phase 6 Validation</w:t>
      </w:r>
    </w:p>
    <w:p>
      <w:pPr>
        <w:pStyle w:val="FirstParagraph"/>
      </w:pPr>
      <w:r>
        <w:t xml:space="preserve">Required validation includes where implemented:</w:t>
      </w:r>
    </w:p>
    <w:p>
      <w:pPr>
        <w:pStyle w:val="Compact"/>
        <w:numPr>
          <w:ilvl w:val="0"/>
          <w:numId w:val="1021"/>
        </w:numPr>
      </w:pPr>
      <w:r>
        <w:t xml:space="preserve">valid risk state</w:t>
      </w:r>
    </w:p>
    <w:p>
      <w:pPr>
        <w:pStyle w:val="Compact"/>
        <w:numPr>
          <w:ilvl w:val="0"/>
          <w:numId w:val="1021"/>
        </w:numPr>
      </w:pPr>
      <w:r>
        <w:t xml:space="preserve">invalid risk state</w:t>
      </w:r>
    </w:p>
    <w:p>
      <w:pPr>
        <w:pStyle w:val="Compact"/>
        <w:numPr>
          <w:ilvl w:val="0"/>
          <w:numId w:val="1021"/>
        </w:numPr>
      </w:pPr>
      <w:r>
        <w:t xml:space="preserve">order risk rejection</w:t>
      </w:r>
    </w:p>
    <w:p>
      <w:pPr>
        <w:pStyle w:val="Compact"/>
        <w:numPr>
          <w:ilvl w:val="0"/>
          <w:numId w:val="1021"/>
        </w:numPr>
      </w:pPr>
      <w:r>
        <w:t xml:space="preserve">limit boundary conditions</w:t>
      </w:r>
    </w:p>
    <w:p>
      <w:pPr>
        <w:pStyle w:val="Compact"/>
        <w:numPr>
          <w:ilvl w:val="0"/>
          <w:numId w:val="1021"/>
        </w:numPr>
      </w:pPr>
      <w:r>
        <w:t xml:space="preserve">unavailable financial data</w:t>
      </w:r>
    </w:p>
    <w:p>
      <w:pPr>
        <w:pStyle w:val="Compact"/>
        <w:numPr>
          <w:ilvl w:val="0"/>
          <w:numId w:val="1021"/>
        </w:numPr>
      </w:pPr>
      <w:r>
        <w:t xml:space="preserve">portfolio exposure calculations</w:t>
      </w:r>
    </w:p>
    <w:p>
      <w:pPr>
        <w:pStyle w:val="Compact"/>
        <w:numPr>
          <w:ilvl w:val="0"/>
          <w:numId w:val="1021"/>
        </w:numPr>
      </w:pPr>
      <w:r>
        <w:t xml:space="preserve">deterministic financial precision</w:t>
      </w:r>
    </w:p>
    <w:p>
      <w:pPr>
        <w:pStyle w:val="FirstParagraph"/>
      </w:pPr>
      <w:r>
        <w:t xml:space="preserve">Risk tests shall preserve the distinction between unavailable values and zero.</w:t>
      </w:r>
    </w:p>
    <w:p>
      <w:r>
        <w:pict>
          <v:rect style="width:0;height:1.5pt" o:hralign="center" o:hrstd="t" o:hr="t"/>
        </w:pict>
      </w:r>
    </w:p>
    <w:bookmarkEnd w:id="29"/>
    <w:bookmarkStart w:id="30" w:name="phase-7-reporting-and-analytics"/>
    <w:p>
      <w:pPr>
        <w:pStyle w:val="Heading1"/>
      </w:pPr>
      <w:r>
        <w:t xml:space="preserve">Phase 7 – Reporting and Analytics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traceable reporting and analytics for implemented Trading Cockpit capabilities.</w:t>
      </w:r>
    </w:p>
    <w:p>
      <w:pPr>
        <w:pStyle w:val="BodyText"/>
      </w:pPr>
      <w:r>
        <w:t xml:space="preserve">Primary capabilities may include:</w:t>
      </w:r>
    </w:p>
    <w:p>
      <w:pPr>
        <w:pStyle w:val="Compact"/>
        <w:numPr>
          <w:ilvl w:val="0"/>
          <w:numId w:val="1022"/>
        </w:numPr>
      </w:pPr>
      <w:r>
        <w:t xml:space="preserve">reporting</w:t>
      </w:r>
    </w:p>
    <w:p>
      <w:pPr>
        <w:pStyle w:val="Compact"/>
        <w:numPr>
          <w:ilvl w:val="0"/>
          <w:numId w:val="1022"/>
        </w:numPr>
      </w:pPr>
      <w:r>
        <w:t xml:space="preserve">performance analysis</w:t>
      </w:r>
    </w:p>
    <w:p>
      <w:pPr>
        <w:pStyle w:val="Compact"/>
        <w:numPr>
          <w:ilvl w:val="0"/>
          <w:numId w:val="1022"/>
        </w:numPr>
      </w:pPr>
      <w:r>
        <w:t xml:space="preserve">trading journal</w:t>
      </w:r>
    </w:p>
    <w:p>
      <w:pPr>
        <w:pStyle w:val="Compact"/>
        <w:numPr>
          <w:ilvl w:val="0"/>
          <w:numId w:val="1022"/>
        </w:numPr>
      </w:pPr>
      <w:r>
        <w:t xml:space="preserve">execution analysis</w:t>
      </w:r>
    </w:p>
    <w:p>
      <w:pPr>
        <w:pStyle w:val="Compact"/>
        <w:numPr>
          <w:ilvl w:val="0"/>
          <w:numId w:val="1022"/>
        </w:numPr>
      </w:pPr>
      <w:r>
        <w:t xml:space="preserve">risk analytics</w:t>
      </w:r>
    </w:p>
    <w:p>
      <w:pPr>
        <w:pStyle w:val="Compact"/>
        <w:numPr>
          <w:ilvl w:val="0"/>
          <w:numId w:val="1022"/>
        </w:numPr>
      </w:pPr>
      <w:r>
        <w:t xml:space="preserve">operational analytics</w:t>
      </w:r>
    </w:p>
    <w:p>
      <w:pPr>
        <w:pStyle w:val="Compact"/>
        <w:numPr>
          <w:ilvl w:val="0"/>
          <w:numId w:val="1022"/>
        </w:numPr>
      </w:pPr>
      <w:r>
        <w:t xml:space="preserve">statistics</w:t>
      </w:r>
    </w:p>
    <w:p>
      <w:pPr>
        <w:pStyle w:val="FirstParagraph"/>
      </w:pPr>
      <w:r>
        <w:t xml:space="preserve">AI-assisted insights may be evaluated when concrete product requirements and reliable source data exist.</w:t>
      </w:r>
    </w:p>
    <w:p>
      <w:pPr>
        <w:pStyle w:val="BodyText"/>
      </w:pPr>
      <w:r>
        <w:t xml:space="preserve">AI functionality is not a mandatory platform milestone.</w:t>
      </w:r>
    </w:p>
    <w:p>
      <w:r>
        <w:pict>
          <v:rect style="width:0;height:1.5pt" o:hralign="center" o:hrstd="t" o:hr="t"/>
        </w:pict>
      </w:r>
    </w:p>
    <w:bookmarkEnd w:id="30"/>
    <w:bookmarkStart w:id="31" w:name="phase-7-data-principles"/>
    <w:p>
      <w:pPr>
        <w:pStyle w:val="Heading1"/>
      </w:pPr>
      <w:r>
        <w:t xml:space="preserve">Phase 7 Data Principles</w:t>
      </w:r>
    </w:p>
    <w:p>
      <w:pPr>
        <w:pStyle w:val="FirstParagraph"/>
      </w:pPr>
      <w:r>
        <w:t xml:space="preserve">Reporting and analytics shall use explicit source semantics.</w:t>
      </w:r>
    </w:p>
    <w:p>
      <w:pPr>
        <w:pStyle w:val="BodyText"/>
      </w:pPr>
      <w:r>
        <w:t xml:space="preserve">Reports shall distinguish where relevant:</w:t>
      </w:r>
    </w:p>
    <w:p>
      <w:pPr>
        <w:pStyle w:val="Compact"/>
        <w:numPr>
          <w:ilvl w:val="0"/>
          <w:numId w:val="1023"/>
        </w:numPr>
      </w:pPr>
      <w:r>
        <w:t xml:space="preserve">local business state</w:t>
      </w:r>
    </w:p>
    <w:p>
      <w:pPr>
        <w:pStyle w:val="Compact"/>
        <w:numPr>
          <w:ilvl w:val="0"/>
          <w:numId w:val="1023"/>
        </w:numPr>
      </w:pPr>
      <w:r>
        <w:t xml:space="preserve">broker-derived state</w:t>
      </w:r>
    </w:p>
    <w:p>
      <w:pPr>
        <w:pStyle w:val="Compact"/>
        <w:numPr>
          <w:ilvl w:val="0"/>
          <w:numId w:val="1023"/>
        </w:numPr>
      </w:pPr>
      <w:r>
        <w:t xml:space="preserve">market data state</w:t>
      </w:r>
    </w:p>
    <w:p>
      <w:pPr>
        <w:pStyle w:val="Compact"/>
        <w:numPr>
          <w:ilvl w:val="0"/>
          <w:numId w:val="1023"/>
        </w:numPr>
      </w:pPr>
      <w:r>
        <w:t xml:space="preserve">reconciled state</w:t>
      </w:r>
    </w:p>
    <w:p>
      <w:pPr>
        <w:pStyle w:val="FirstParagraph"/>
      </w:pPr>
      <w:r>
        <w:t xml:space="preserve">Do not silently invent missing financial values.</w:t>
      </w:r>
    </w:p>
    <w:p>
      <w:pPr>
        <w:pStyle w:val="BodyText"/>
      </w:pPr>
      <w:r>
        <w:t xml:space="preserve">Derived analytics shall remain traceable to authoritative source data where practical.</w:t>
      </w:r>
    </w:p>
    <w:p>
      <w:r>
        <w:pict>
          <v:rect style="width:0;height:1.5pt" o:hralign="center" o:hrstd="t" o:hr="t"/>
        </w:pict>
      </w:r>
    </w:p>
    <w:bookmarkEnd w:id="31"/>
    <w:bookmarkStart w:id="32" w:name="phase-7-validation"/>
    <w:p>
      <w:pPr>
        <w:pStyle w:val="Heading1"/>
      </w:pPr>
      <w:r>
        <w:t xml:space="preserve">Phase 7 Validation</w:t>
      </w:r>
    </w:p>
    <w:p>
      <w:pPr>
        <w:pStyle w:val="FirstParagraph"/>
      </w:pPr>
      <w:r>
        <w:t xml:space="preserve">Required validation includes where implemented:</w:t>
      </w:r>
    </w:p>
    <w:p>
      <w:pPr>
        <w:pStyle w:val="Compact"/>
        <w:numPr>
          <w:ilvl w:val="0"/>
          <w:numId w:val="1024"/>
        </w:numPr>
      </w:pPr>
      <w:r>
        <w:t xml:space="preserve">calculation tests</w:t>
      </w:r>
    </w:p>
    <w:p>
      <w:pPr>
        <w:pStyle w:val="Compact"/>
        <w:numPr>
          <w:ilvl w:val="0"/>
          <w:numId w:val="1024"/>
        </w:numPr>
      </w:pPr>
      <w:r>
        <w:t xml:space="preserve">financial precision tests</w:t>
      </w:r>
    </w:p>
    <w:p>
      <w:pPr>
        <w:pStyle w:val="Compact"/>
        <w:numPr>
          <w:ilvl w:val="0"/>
          <w:numId w:val="1024"/>
        </w:numPr>
      </w:pPr>
      <w:r>
        <w:t xml:space="preserve">unavailable data tests</w:t>
      </w:r>
    </w:p>
    <w:p>
      <w:pPr>
        <w:pStyle w:val="Compact"/>
        <w:numPr>
          <w:ilvl w:val="0"/>
          <w:numId w:val="1024"/>
        </w:numPr>
      </w:pPr>
      <w:r>
        <w:t xml:space="preserve">source-state tests</w:t>
      </w:r>
    </w:p>
    <w:p>
      <w:pPr>
        <w:pStyle w:val="Compact"/>
        <w:numPr>
          <w:ilvl w:val="0"/>
          <w:numId w:val="1024"/>
        </w:numPr>
      </w:pPr>
      <w:r>
        <w:t xml:space="preserve">report generation tests</w:t>
      </w:r>
    </w:p>
    <w:p>
      <w:pPr>
        <w:pStyle w:val="Compact"/>
        <w:numPr>
          <w:ilvl w:val="0"/>
          <w:numId w:val="1024"/>
        </w:numPr>
      </w:pPr>
      <w:r>
        <w:t xml:space="preserve">deterministic analytics tests</w:t>
      </w:r>
    </w:p>
    <w:p>
      <w:pPr>
        <w:pStyle w:val="FirstParagraph"/>
      </w:pPr>
      <w:r>
        <w:t xml:space="preserve">Analytics tests shall not depend on current market state.</w:t>
      </w:r>
    </w:p>
    <w:p>
      <w:r>
        <w:pict>
          <v:rect style="width:0;height:1.5pt" o:hralign="center" o:hrstd="t" o:hr="t"/>
        </w:pict>
      </w:r>
    </w:p>
    <w:bookmarkEnd w:id="32"/>
    <w:bookmarkStart w:id="33" w:name="phase-8-shared-capabilities-as-required"/>
    <w:p>
      <w:pPr>
        <w:pStyle w:val="Heading1"/>
      </w:pPr>
      <w:r>
        <w:t xml:space="preserve">Phase 8 – Shared Capabilities as Required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Extract or strengthen shared capabilities only when multiple concrete product capabilities demonstrate the need.</w:t>
      </w:r>
    </w:p>
    <w:p>
      <w:pPr>
        <w:pStyle w:val="BodyText"/>
      </w:pPr>
      <w:r>
        <w:t xml:space="preserve">Potential examples:</w:t>
      </w:r>
    </w:p>
    <w:p>
      <w:pPr>
        <w:pStyle w:val="Compact"/>
        <w:numPr>
          <w:ilvl w:val="0"/>
          <w:numId w:val="1025"/>
        </w:numPr>
      </w:pPr>
      <w:r>
        <w:t xml:space="preserve">shared scheduling</w:t>
      </w:r>
    </w:p>
    <w:p>
      <w:pPr>
        <w:pStyle w:val="Compact"/>
        <w:numPr>
          <w:ilvl w:val="0"/>
          <w:numId w:val="1025"/>
        </w:numPr>
      </w:pPr>
      <w:r>
        <w:t xml:space="preserve">shared resource lifecycle</w:t>
      </w:r>
    </w:p>
    <w:p>
      <w:pPr>
        <w:pStyle w:val="Compact"/>
        <w:numPr>
          <w:ilvl w:val="0"/>
          <w:numId w:val="1025"/>
        </w:numPr>
      </w:pPr>
      <w:r>
        <w:t xml:space="preserve">shared messaging</w:t>
      </w:r>
    </w:p>
    <w:p>
      <w:pPr>
        <w:pStyle w:val="Compact"/>
        <w:numPr>
          <w:ilvl w:val="0"/>
          <w:numId w:val="1025"/>
        </w:numPr>
      </w:pPr>
      <w:r>
        <w:t xml:space="preserve">shared transaction coordination</w:t>
      </w:r>
    </w:p>
    <w:p>
      <w:pPr>
        <w:pStyle w:val="Compact"/>
        <w:numPr>
          <w:ilvl w:val="0"/>
          <w:numId w:val="1025"/>
        </w:numPr>
      </w:pPr>
      <w:r>
        <w:t xml:space="preserve">shared import and export</w:t>
      </w:r>
    </w:p>
    <w:p>
      <w:pPr>
        <w:pStyle w:val="Compact"/>
        <w:numPr>
          <w:ilvl w:val="0"/>
          <w:numId w:val="1025"/>
        </w:numPr>
      </w:pPr>
      <w:r>
        <w:t xml:space="preserve">shared extension boundaries</w:t>
      </w:r>
    </w:p>
    <w:p>
      <w:pPr>
        <w:pStyle w:val="FirstParagraph"/>
      </w:pPr>
      <w:r>
        <w:t xml:space="preserve">These are not automatic roadmap commitments.</w:t>
      </w:r>
    </w:p>
    <w:p>
      <w:pPr>
        <w:pStyle w:val="BodyText"/>
      </w:pPr>
      <w:r>
        <w:t xml:space="preserve">Each shared capability requires:</w:t>
      </w:r>
    </w:p>
    <w:p>
      <w:pPr>
        <w:pStyle w:val="Compact"/>
        <w:numPr>
          <w:ilvl w:val="0"/>
          <w:numId w:val="1026"/>
        </w:numPr>
      </w:pPr>
      <w:r>
        <w:t xml:space="preserve">At least one concrete requirement.</w:t>
      </w:r>
    </w:p>
    <w:p>
      <w:pPr>
        <w:pStyle w:val="Compact"/>
        <w:numPr>
          <w:ilvl w:val="0"/>
          <w:numId w:val="1026"/>
        </w:numPr>
      </w:pPr>
      <w:r>
        <w:t xml:space="preserve">Identified consumers.</w:t>
      </w:r>
    </w:p>
    <w:p>
      <w:pPr>
        <w:pStyle w:val="Compact"/>
        <w:numPr>
          <w:ilvl w:val="0"/>
          <w:numId w:val="1026"/>
        </w:numPr>
      </w:pPr>
      <w:r>
        <w:t xml:space="preserve">Clear ownership.</w:t>
      </w:r>
    </w:p>
    <w:p>
      <w:pPr>
        <w:pStyle w:val="Compact"/>
        <w:numPr>
          <w:ilvl w:val="0"/>
          <w:numId w:val="1026"/>
        </w:numPr>
      </w:pPr>
      <w:r>
        <w:t xml:space="preserve">Defined contract.</w:t>
      </w:r>
    </w:p>
    <w:p>
      <w:pPr>
        <w:pStyle w:val="Compact"/>
        <w:numPr>
          <w:ilvl w:val="0"/>
          <w:numId w:val="1026"/>
        </w:numPr>
      </w:pPr>
      <w:r>
        <w:t xml:space="preserve">Migration analysis.</w:t>
      </w:r>
    </w:p>
    <w:p>
      <w:pPr>
        <w:pStyle w:val="Compact"/>
        <w:numPr>
          <w:ilvl w:val="0"/>
          <w:numId w:val="1026"/>
        </w:numPr>
      </w:pPr>
      <w:r>
        <w:t xml:space="preserve">Test strategy.</w:t>
      </w:r>
    </w:p>
    <w:p>
      <w:pPr>
        <w:pStyle w:val="FirstParagraph"/>
      </w:pPr>
      <w:r>
        <w:t xml:space="preserve">Prefer extraction from demonstrated reuse over speculative platform construction.</w:t>
      </w:r>
    </w:p>
    <w:p>
      <w:r>
        <w:pict>
          <v:rect style="width:0;height:1.5pt" o:hralign="center" o:hrstd="t" o:hr="t"/>
        </w:pict>
      </w:r>
    </w:p>
    <w:bookmarkEnd w:id="33"/>
    <w:bookmarkStart w:id="34" w:name="plugin-and-extension-strategy"/>
    <w:p>
      <w:pPr>
        <w:pStyle w:val="Heading1"/>
      </w:pPr>
      <w:r>
        <w:t xml:space="preserve">Plugin and Extension Strategy</w:t>
      </w:r>
    </w:p>
    <w:p>
      <w:pPr>
        <w:pStyle w:val="FirstParagraph"/>
      </w:pPr>
      <w:r>
        <w:t xml:space="preserve">A Plugin System, Plugin SDK or general extension ecosystem is not a current roadmap milestone.</w:t>
      </w:r>
    </w:p>
    <w:p>
      <w:pPr>
        <w:pStyle w:val="BodyText"/>
      </w:pPr>
      <w:r>
        <w:t xml:space="preserve">Such capabilities may be evaluated when:</w:t>
      </w:r>
    </w:p>
    <w:p>
      <w:pPr>
        <w:pStyle w:val="Compact"/>
        <w:numPr>
          <w:ilvl w:val="0"/>
          <w:numId w:val="1027"/>
        </w:numPr>
      </w:pPr>
      <w:r>
        <w:t xml:space="preserve">a concrete extension requirement exists</w:t>
      </w:r>
    </w:p>
    <w:p>
      <w:pPr>
        <w:pStyle w:val="Compact"/>
        <w:numPr>
          <w:ilvl w:val="0"/>
          <w:numId w:val="1027"/>
        </w:numPr>
      </w:pPr>
      <w:r>
        <w:t xml:space="preserve">at least one real extension consumer exists</w:t>
      </w:r>
    </w:p>
    <w:p>
      <w:pPr>
        <w:pStyle w:val="Compact"/>
        <w:numPr>
          <w:ilvl w:val="0"/>
          <w:numId w:val="1027"/>
        </w:numPr>
      </w:pPr>
      <w:r>
        <w:t xml:space="preserve">lifecycle ownership is defined</w:t>
      </w:r>
    </w:p>
    <w:p>
      <w:pPr>
        <w:pStyle w:val="Compact"/>
        <w:numPr>
          <w:ilvl w:val="0"/>
          <w:numId w:val="1027"/>
        </w:numPr>
      </w:pPr>
      <w:r>
        <w:t xml:space="preserve">security impact is understood</w:t>
      </w:r>
    </w:p>
    <w:p>
      <w:pPr>
        <w:pStyle w:val="Compact"/>
        <w:numPr>
          <w:ilvl w:val="0"/>
          <w:numId w:val="1027"/>
        </w:numPr>
      </w:pPr>
      <w:r>
        <w:t xml:space="preserve">compatibility requirements are explicit</w:t>
      </w:r>
    </w:p>
    <w:p>
      <w:pPr>
        <w:pStyle w:val="FirstParagraph"/>
      </w:pPr>
      <w:r>
        <w:t xml:space="preserve">Do not introduce plugin infrastructure solely for hypothetical future extensibility.</w:t>
      </w:r>
    </w:p>
    <w:p>
      <w:r>
        <w:pict>
          <v:rect style="width:0;height:1.5pt" o:hralign="center" o:hrstd="t" o:hr="t"/>
        </w:pict>
      </w:r>
    </w:p>
    <w:bookmarkEnd w:id="34"/>
    <w:bookmarkStart w:id="35" w:name="public-api-strategy"/>
    <w:p>
      <w:pPr>
        <w:pStyle w:val="Heading1"/>
      </w:pPr>
      <w:r>
        <w:t xml:space="preserve">Public API Strategy</w:t>
      </w:r>
    </w:p>
    <w:p>
      <w:pPr>
        <w:pStyle w:val="FirstParagraph"/>
      </w:pPr>
      <w:r>
        <w:t xml:space="preserve">Public APIs are not a default roadmap milestone.</w:t>
      </w:r>
    </w:p>
    <w:p>
      <w:pPr>
        <w:pStyle w:val="BodyText"/>
      </w:pPr>
      <w:r>
        <w:t xml:space="preserve">A public API requires:</w:t>
      </w:r>
    </w:p>
    <w:p>
      <w:pPr>
        <w:pStyle w:val="Compact"/>
        <w:numPr>
          <w:ilvl w:val="0"/>
          <w:numId w:val="1028"/>
        </w:numPr>
      </w:pPr>
      <w:r>
        <w:t xml:space="preserve">concrete external consumer</w:t>
      </w:r>
    </w:p>
    <w:p>
      <w:pPr>
        <w:pStyle w:val="Compact"/>
        <w:numPr>
          <w:ilvl w:val="0"/>
          <w:numId w:val="1028"/>
        </w:numPr>
      </w:pPr>
      <w:r>
        <w:t xml:space="preserve">explicit contract ownership</w:t>
      </w:r>
    </w:p>
    <w:p>
      <w:pPr>
        <w:pStyle w:val="Compact"/>
        <w:numPr>
          <w:ilvl w:val="0"/>
          <w:numId w:val="1028"/>
        </w:numPr>
      </w:pPr>
      <w:r>
        <w:t xml:space="preserve">versioning policy</w:t>
      </w:r>
    </w:p>
    <w:p>
      <w:pPr>
        <w:pStyle w:val="Compact"/>
        <w:numPr>
          <w:ilvl w:val="0"/>
          <w:numId w:val="1028"/>
        </w:numPr>
      </w:pPr>
      <w:r>
        <w:t xml:space="preserve">compatibility policy</w:t>
      </w:r>
    </w:p>
    <w:p>
      <w:pPr>
        <w:pStyle w:val="Compact"/>
        <w:numPr>
          <w:ilvl w:val="0"/>
          <w:numId w:val="1028"/>
        </w:numPr>
      </w:pPr>
      <w:r>
        <w:t xml:space="preserve">authentication and authorization requirements</w:t>
      </w:r>
    </w:p>
    <w:p>
      <w:pPr>
        <w:pStyle w:val="Compact"/>
        <w:numPr>
          <w:ilvl w:val="0"/>
          <w:numId w:val="1028"/>
        </w:numPr>
      </w:pPr>
      <w:r>
        <w:t xml:space="preserve">operational ownership</w:t>
      </w:r>
    </w:p>
    <w:p>
      <w:pPr>
        <w:pStyle w:val="FirstParagraph"/>
      </w:pPr>
      <w:r>
        <w:t xml:space="preserve">Internal project-owned ports are not automatically public APIs.</w:t>
      </w:r>
    </w:p>
    <w:p>
      <w:r>
        <w:pict>
          <v:rect style="width:0;height:1.5pt" o:hralign="center" o:hrstd="t" o:hr="t"/>
        </w:pict>
      </w:r>
    </w:p>
    <w:bookmarkEnd w:id="35"/>
    <w:bookmarkStart w:id="36" w:name="cloud-strategy"/>
    <w:p>
      <w:pPr>
        <w:pStyle w:val="Heading1"/>
      </w:pPr>
      <w:r>
        <w:t xml:space="preserve">Cloud Strategy</w:t>
      </w:r>
    </w:p>
    <w:p>
      <w:pPr>
        <w:pStyle w:val="FirstParagraph"/>
      </w:pPr>
      <w:r>
        <w:t xml:space="preserve">Cloud readiness is not a generic roadmap objective.</w:t>
      </w:r>
    </w:p>
    <w:p>
      <w:pPr>
        <w:pStyle w:val="BodyText"/>
      </w:pPr>
      <w:r>
        <w:t xml:space="preserve">Cloud-related architecture shall be introduced only when a concrete deployment requirement exists.</w:t>
      </w:r>
    </w:p>
    <w:p>
      <w:pPr>
        <w:pStyle w:val="BodyText"/>
      </w:pPr>
      <w:r>
        <w:t xml:space="preserve">Do not redesign local runtime, persistence or integration architecture solely to claim cloud readiness.</w:t>
      </w:r>
    </w:p>
    <w:p>
      <w:r>
        <w:pict>
          <v:rect style="width:0;height:1.5pt" o:hralign="center" o:hrstd="t" o:hr="t"/>
        </w:pict>
      </w:r>
    </w:p>
    <w:bookmarkEnd w:id="36"/>
    <w:bookmarkStart w:id="37" w:name="cross-phase-engineering-activities"/>
    <w:p>
      <w:pPr>
        <w:pStyle w:val="Heading1"/>
      </w:pPr>
      <w:r>
        <w:t xml:space="preserve">Cross-Phase Engineering Activities</w:t>
      </w:r>
    </w:p>
    <w:p>
      <w:pPr>
        <w:pStyle w:val="FirstParagraph"/>
      </w:pPr>
      <w:r>
        <w:t xml:space="preserve">The following activities continue throughout relevant phases:</w:t>
      </w:r>
    </w:p>
    <w:p>
      <w:pPr>
        <w:pStyle w:val="Compact"/>
        <w:numPr>
          <w:ilvl w:val="0"/>
          <w:numId w:val="1029"/>
        </w:numPr>
      </w:pPr>
      <w:r>
        <w:t xml:space="preserve">focused refactoring</w:t>
      </w:r>
    </w:p>
    <w:p>
      <w:pPr>
        <w:pStyle w:val="Compact"/>
        <w:numPr>
          <w:ilvl w:val="0"/>
          <w:numId w:val="1029"/>
        </w:numPr>
      </w:pPr>
      <w:r>
        <w:t xml:space="preserve">documentation synchronization</w:t>
      </w:r>
    </w:p>
    <w:p>
      <w:pPr>
        <w:pStyle w:val="Compact"/>
        <w:numPr>
          <w:ilvl w:val="0"/>
          <w:numId w:val="1029"/>
        </w:numPr>
      </w:pPr>
      <w:r>
        <w:t xml:space="preserve">automated testing</w:t>
      </w:r>
    </w:p>
    <w:p>
      <w:pPr>
        <w:pStyle w:val="Compact"/>
        <w:numPr>
          <w:ilvl w:val="0"/>
          <w:numId w:val="1029"/>
        </w:numPr>
      </w:pPr>
      <w:r>
        <w:t xml:space="preserve">trading workflow regression protection</w:t>
      </w:r>
    </w:p>
    <w:p>
      <w:pPr>
        <w:pStyle w:val="Compact"/>
        <w:numPr>
          <w:ilvl w:val="0"/>
          <w:numId w:val="1029"/>
        </w:numPr>
      </w:pPr>
      <w:r>
        <w:t xml:space="preserve">architecture boundary validation</w:t>
      </w:r>
    </w:p>
    <w:p>
      <w:pPr>
        <w:pStyle w:val="Compact"/>
        <w:numPr>
          <w:ilvl w:val="0"/>
          <w:numId w:val="1029"/>
        </w:numPr>
      </w:pPr>
      <w:r>
        <w:t xml:space="preserve">source quality verification</w:t>
      </w:r>
    </w:p>
    <w:p>
      <w:pPr>
        <w:pStyle w:val="Compact"/>
        <w:numPr>
          <w:ilvl w:val="0"/>
          <w:numId w:val="1029"/>
        </w:numPr>
      </w:pPr>
      <w:r>
        <w:t xml:space="preserve">security review</w:t>
      </w:r>
    </w:p>
    <w:p>
      <w:pPr>
        <w:pStyle w:val="Compact"/>
        <w:numPr>
          <w:ilvl w:val="0"/>
          <w:numId w:val="1029"/>
        </w:numPr>
      </w:pPr>
      <w:r>
        <w:t xml:space="preserve">dependency maintenance</w:t>
      </w:r>
    </w:p>
    <w:p>
      <w:pPr>
        <w:pStyle w:val="Compact"/>
        <w:numPr>
          <w:ilvl w:val="0"/>
          <w:numId w:val="1029"/>
        </w:numPr>
      </w:pPr>
      <w:r>
        <w:t xml:space="preserve">technical debt reduction</w:t>
      </w:r>
    </w:p>
    <w:p>
      <w:pPr>
        <w:pStyle w:val="FirstParagraph"/>
      </w:pPr>
      <w:r>
        <w:t xml:space="preserve">Performance optimization is performed after measurement.</w:t>
      </w:r>
    </w:p>
    <w:p>
      <w:pPr>
        <w:pStyle w:val="BodyText"/>
      </w:pPr>
      <w:r>
        <w:t xml:space="preserve">Do not optimize speculative bottlenecks.</w:t>
      </w:r>
    </w:p>
    <w:p>
      <w:r>
        <w:pict>
          <v:rect style="width:0;height:1.5pt" o:hralign="center" o:hrstd="t" o:hr="t"/>
        </w:pict>
      </w:r>
    </w:p>
    <w:bookmarkEnd w:id="37"/>
    <w:bookmarkStart w:id="38" w:name="documentation-milestones"/>
    <w:p>
      <w:pPr>
        <w:pStyle w:val="Heading1"/>
      </w:pPr>
      <w:r>
        <w:t xml:space="preserve">Documentation Milestones</w:t>
      </w:r>
    </w:p>
    <w:p>
      <w:pPr>
        <w:pStyle w:val="FirstParagraph"/>
      </w:pPr>
      <w:r>
        <w:t xml:space="preserve">Documentation is part of each capability implementation.</w:t>
      </w:r>
    </w:p>
    <w:p>
      <w:pPr>
        <w:pStyle w:val="BodyText"/>
      </w:pPr>
      <w:r>
        <w:t xml:space="preserve">When a capability changes documented:</w:t>
      </w:r>
    </w:p>
    <w:p>
      <w:pPr>
        <w:pStyle w:val="Compact"/>
        <w:numPr>
          <w:ilvl w:val="0"/>
          <w:numId w:val="1030"/>
        </w:numPr>
      </w:pPr>
      <w:r>
        <w:t xml:space="preserve">architecture</w:t>
      </w:r>
    </w:p>
    <w:p>
      <w:pPr>
        <w:pStyle w:val="Compact"/>
        <w:numPr>
          <w:ilvl w:val="0"/>
          <w:numId w:val="1030"/>
        </w:numPr>
      </w:pPr>
      <w:r>
        <w:t xml:space="preserve">behaviour</w:t>
      </w:r>
    </w:p>
    <w:p>
      <w:pPr>
        <w:pStyle w:val="Compact"/>
        <w:numPr>
          <w:ilvl w:val="0"/>
          <w:numId w:val="1030"/>
        </w:numPr>
      </w:pPr>
      <w:r>
        <w:t xml:space="preserve">API</w:t>
      </w:r>
    </w:p>
    <w:p>
      <w:pPr>
        <w:pStyle w:val="Compact"/>
        <w:numPr>
          <w:ilvl w:val="0"/>
          <w:numId w:val="1030"/>
        </w:numPr>
      </w:pPr>
      <w:r>
        <w:t xml:space="preserve">configuration</w:t>
      </w:r>
    </w:p>
    <w:p>
      <w:pPr>
        <w:pStyle w:val="Compact"/>
        <w:numPr>
          <w:ilvl w:val="0"/>
          <w:numId w:val="1030"/>
        </w:numPr>
      </w:pPr>
      <w:r>
        <w:t xml:space="preserve">runtime lifecycle</w:t>
      </w:r>
    </w:p>
    <w:p>
      <w:pPr>
        <w:pStyle w:val="Compact"/>
        <w:numPr>
          <w:ilvl w:val="0"/>
          <w:numId w:val="1030"/>
        </w:numPr>
      </w:pPr>
      <w:r>
        <w:t xml:space="preserve">workflow</w:t>
      </w:r>
    </w:p>
    <w:p>
      <w:pPr>
        <w:pStyle w:val="Compact"/>
        <w:numPr>
          <w:ilvl w:val="0"/>
          <w:numId w:val="1030"/>
        </w:numPr>
      </w:pPr>
      <w:r>
        <w:t xml:space="preserve">operational state</w:t>
      </w:r>
    </w:p>
    <w:p>
      <w:pPr>
        <w:pStyle w:val="FirstParagraph"/>
      </w:pPr>
      <w:r>
        <w:t xml:space="preserve">the affected Markdown documentation shall be updated before final verification.</w:t>
      </w:r>
    </w:p>
    <w:p>
      <w:pPr>
        <w:pStyle w:val="BodyText"/>
      </w:pPr>
      <w:r>
        <w:t xml:space="preserve">When Markdown changes run: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Documentation generation shall complete successfully before commit.</w:t>
      </w:r>
    </w:p>
    <w:p>
      <w:r>
        <w:pict>
          <v:rect style="width:0;height:1.5pt" o:hralign="center" o:hrstd="t" o:hr="t"/>
        </w:pict>
      </w:r>
    </w:p>
    <w:bookmarkEnd w:id="38"/>
    <w:bookmarkStart w:id="39" w:name="testing-milestones"/>
    <w:p>
      <w:pPr>
        <w:pStyle w:val="Heading1"/>
      </w:pPr>
      <w:r>
        <w:t xml:space="preserve">Testing Milestones</w:t>
      </w:r>
    </w:p>
    <w:p>
      <w:pPr>
        <w:pStyle w:val="FirstParagraph"/>
      </w:pPr>
      <w:r>
        <w:t xml:space="preserve">Testing depth follows operational risk.</w:t>
      </w:r>
    </w:p>
    <w:p>
      <w:pPr>
        <w:pStyle w:val="BodyText"/>
      </w:pPr>
      <w:r>
        <w:t xml:space="preserve">Typical sequence:</w:t>
      </w:r>
    </w:p>
    <w:p>
      <w:pPr>
        <w:pStyle w:val="SourceCode"/>
      </w:pPr>
      <w:r>
        <w:rPr>
          <w:rStyle w:val="VerbatimChar"/>
        </w:rPr>
        <w:t xml:space="preserve">Unit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Integration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Trading Workflow Regression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Runtime and System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Explicit PAPER Validation</w:t>
      </w:r>
    </w:p>
    <w:p>
      <w:pPr>
        <w:pStyle w:val="FirstParagraph"/>
      </w:pPr>
      <w:r>
        <w:t xml:space="preserve">LIVE validation requires explicit approval.</w:t>
      </w:r>
    </w:p>
    <w:p>
      <w:pPr>
        <w:pStyle w:val="BodyText"/>
      </w:pPr>
      <w:r>
        <w:t xml:space="preserve">LIVE validation is never part of normal CI.</w:t>
      </w:r>
    </w:p>
    <w:p>
      <w:r>
        <w:pict>
          <v:rect style="width:0;height:1.5pt" o:hralign="center" o:hrstd="t" o:hr="t"/>
        </w:pict>
      </w:r>
    </w:p>
    <w:bookmarkEnd w:id="39"/>
    <w:bookmarkStart w:id="40" w:name="architecture-evolution"/>
    <w:p>
      <w:pPr>
        <w:pStyle w:val="Heading1"/>
      </w:pPr>
      <w:r>
        <w:t xml:space="preserve">Architecture Evolution</w:t>
      </w:r>
    </w:p>
    <w:p>
      <w:pPr>
        <w:pStyle w:val="FirstParagraph"/>
      </w:pPr>
      <w:r>
        <w:t xml:space="preserve">Architecture shall evolve with implemented product capabilities.</w:t>
      </w:r>
    </w:p>
    <w:p>
      <w:pPr>
        <w:pStyle w:val="BodyText"/>
      </w:pPr>
      <w:r>
        <w:t xml:space="preserve">Before introducing a significant architecture change:</w:t>
      </w:r>
    </w:p>
    <w:p>
      <w:pPr>
        <w:pStyle w:val="Compact"/>
        <w:numPr>
          <w:ilvl w:val="0"/>
          <w:numId w:val="1031"/>
        </w:numPr>
      </w:pPr>
      <w:r>
        <w:t xml:space="preserve">Identify the concrete requirement.</w:t>
      </w:r>
    </w:p>
    <w:p>
      <w:pPr>
        <w:pStyle w:val="Compact"/>
        <w:numPr>
          <w:ilvl w:val="0"/>
          <w:numId w:val="1031"/>
        </w:numPr>
      </w:pPr>
      <w:r>
        <w:t xml:space="preserve">Inspect the current implementation.</w:t>
      </w:r>
    </w:p>
    <w:p>
      <w:pPr>
        <w:pStyle w:val="Compact"/>
        <w:numPr>
          <w:ilvl w:val="0"/>
          <w:numId w:val="1031"/>
        </w:numPr>
      </w:pPr>
      <w:r>
        <w:t xml:space="preserve">Review current architecture documentation.</w:t>
      </w:r>
    </w:p>
    <w:p>
      <w:pPr>
        <w:pStyle w:val="Compact"/>
        <w:numPr>
          <w:ilvl w:val="0"/>
          <w:numId w:val="1031"/>
        </w:numPr>
      </w:pPr>
      <w:r>
        <w:t xml:space="preserve">Identify the owning capability.</w:t>
      </w:r>
    </w:p>
    <w:p>
      <w:pPr>
        <w:pStyle w:val="Compact"/>
        <w:numPr>
          <w:ilvl w:val="0"/>
          <w:numId w:val="1031"/>
        </w:numPr>
      </w:pPr>
      <w:r>
        <w:t xml:space="preserve">Identify real consumers.</w:t>
      </w:r>
    </w:p>
    <w:p>
      <w:pPr>
        <w:pStyle w:val="Compact"/>
        <w:numPr>
          <w:ilvl w:val="0"/>
          <w:numId w:val="1031"/>
        </w:numPr>
      </w:pPr>
      <w:r>
        <w:t xml:space="preserve">Evaluate alternatives.</w:t>
      </w:r>
    </w:p>
    <w:p>
      <w:pPr>
        <w:pStyle w:val="Compact"/>
        <w:numPr>
          <w:ilvl w:val="0"/>
          <w:numId w:val="1031"/>
        </w:numPr>
      </w:pPr>
      <w:r>
        <w:t xml:space="preserve">Evaluate migration impact.</w:t>
      </w:r>
    </w:p>
    <w:p>
      <w:pPr>
        <w:pStyle w:val="Compact"/>
        <w:numPr>
          <w:ilvl w:val="0"/>
          <w:numId w:val="1031"/>
        </w:numPr>
      </w:pPr>
      <w:r>
        <w:t xml:space="preserve">Evaluate trading safety where relevant.</w:t>
      </w:r>
    </w:p>
    <w:p>
      <w:pPr>
        <w:pStyle w:val="Compact"/>
        <w:numPr>
          <w:ilvl w:val="0"/>
          <w:numId w:val="1031"/>
        </w:numPr>
      </w:pPr>
      <w:r>
        <w:t xml:space="preserve">Create or update an ADR where durable architecture rationale is required.</w:t>
      </w:r>
    </w:p>
    <w:p>
      <w:pPr>
        <w:pStyle w:val="Compact"/>
        <w:numPr>
          <w:ilvl w:val="0"/>
          <w:numId w:val="1031"/>
        </w:numPr>
      </w:pPr>
      <w:r>
        <w:t xml:space="preserve">Synchronize current architecture documentation.</w:t>
      </w:r>
    </w:p>
    <w:p>
      <w:pPr>
        <w:pStyle w:val="FirstParagraph"/>
      </w:pPr>
      <w:r>
        <w:t xml:space="preserve">Do not introduce architecture solely for hypothetical future scalability.</w:t>
      </w:r>
    </w:p>
    <w:p>
      <w:r>
        <w:pict>
          <v:rect style="width:0;height:1.5pt" o:hralign="center" o:hrstd="t" o:hr="t"/>
        </w:pict>
      </w:r>
    </w:p>
    <w:bookmarkEnd w:id="40"/>
    <w:bookmarkStart w:id="41" w:name="phase-entry-criteria"/>
    <w:p>
      <w:pPr>
        <w:pStyle w:val="Heading1"/>
      </w:pPr>
      <w:r>
        <w:t xml:space="preserve">Phase Entry Criteria</w:t>
      </w:r>
    </w:p>
    <w:p>
      <w:pPr>
        <w:pStyle w:val="FirstParagraph"/>
      </w:pPr>
      <w:r>
        <w:t xml:space="preserve">Before starting a major capability phase verify:</w:t>
      </w:r>
    </w:p>
    <w:p>
      <w:pPr>
        <w:pStyle w:val="Compact"/>
        <w:numPr>
          <w:ilvl w:val="0"/>
          <w:numId w:val="1032"/>
        </w:numPr>
      </w:pPr>
      <w:r>
        <w:t xml:space="preserve">product requirement is defined</w:t>
      </w:r>
    </w:p>
    <w:p>
      <w:pPr>
        <w:pStyle w:val="Compact"/>
        <w:numPr>
          <w:ilvl w:val="0"/>
          <w:numId w:val="1032"/>
        </w:numPr>
      </w:pPr>
      <w:r>
        <w:t xml:space="preserve">capability ownership is identified</w:t>
      </w:r>
    </w:p>
    <w:p>
      <w:pPr>
        <w:pStyle w:val="Compact"/>
        <w:numPr>
          <w:ilvl w:val="0"/>
          <w:numId w:val="1032"/>
        </w:numPr>
      </w:pPr>
      <w:r>
        <w:t xml:space="preserve">architecture boundaries are understood</w:t>
      </w:r>
    </w:p>
    <w:p>
      <w:pPr>
        <w:pStyle w:val="Compact"/>
        <w:numPr>
          <w:ilvl w:val="0"/>
          <w:numId w:val="1032"/>
        </w:numPr>
      </w:pPr>
      <w:r>
        <w:t xml:space="preserve">required dependencies exist or are explicitly scoped</w:t>
      </w:r>
    </w:p>
    <w:p>
      <w:pPr>
        <w:pStyle w:val="Compact"/>
        <w:numPr>
          <w:ilvl w:val="0"/>
          <w:numId w:val="1032"/>
        </w:numPr>
      </w:pPr>
      <w:r>
        <w:t xml:space="preserve">persistence impact is evaluated</w:t>
      </w:r>
    </w:p>
    <w:p>
      <w:pPr>
        <w:pStyle w:val="Compact"/>
        <w:numPr>
          <w:ilvl w:val="0"/>
          <w:numId w:val="1032"/>
        </w:numPr>
      </w:pPr>
      <w:r>
        <w:t xml:space="preserve">runtime impact is evaluated</w:t>
      </w:r>
    </w:p>
    <w:p>
      <w:pPr>
        <w:pStyle w:val="Compact"/>
        <w:numPr>
          <w:ilvl w:val="0"/>
          <w:numId w:val="1032"/>
        </w:numPr>
      </w:pPr>
      <w:r>
        <w:t xml:space="preserve">testing strategy is defined</w:t>
      </w:r>
    </w:p>
    <w:p>
      <w:pPr>
        <w:pStyle w:val="Compact"/>
        <w:numPr>
          <w:ilvl w:val="0"/>
          <w:numId w:val="1032"/>
        </w:numPr>
      </w:pPr>
      <w:r>
        <w:t xml:space="preserve">documentation impact is identified</w:t>
      </w:r>
    </w:p>
    <w:p>
      <w:pPr>
        <w:pStyle w:val="FirstParagraph"/>
      </w:pPr>
      <w:r>
        <w:t xml:space="preserve">For trading-critical phases additionally verify:</w:t>
      </w:r>
    </w:p>
    <w:p>
      <w:pPr>
        <w:pStyle w:val="Compact"/>
        <w:numPr>
          <w:ilvl w:val="0"/>
          <w:numId w:val="1033"/>
        </w:numPr>
      </w:pPr>
      <w:r>
        <w:t xml:space="preserve">external side effects identified</w:t>
      </w:r>
    </w:p>
    <w:p>
      <w:pPr>
        <w:pStyle w:val="Compact"/>
        <w:numPr>
          <w:ilvl w:val="0"/>
          <w:numId w:val="1033"/>
        </w:numPr>
      </w:pPr>
      <w:r>
        <w:t xml:space="preserve">duplicate submission risk evaluated</w:t>
      </w:r>
    </w:p>
    <w:p>
      <w:pPr>
        <w:pStyle w:val="Compact"/>
        <w:numPr>
          <w:ilvl w:val="0"/>
          <w:numId w:val="1033"/>
        </w:numPr>
      </w:pPr>
      <w:r>
        <w:t xml:space="preserve">retry behaviour evaluated</w:t>
      </w:r>
    </w:p>
    <w:p>
      <w:pPr>
        <w:pStyle w:val="Compact"/>
        <w:numPr>
          <w:ilvl w:val="0"/>
          <w:numId w:val="1033"/>
        </w:numPr>
      </w:pPr>
      <w:r>
        <w:t xml:space="preserve">broker acknowledgement semantics evaluated</w:t>
      </w:r>
    </w:p>
    <w:p>
      <w:pPr>
        <w:pStyle w:val="Compact"/>
        <w:numPr>
          <w:ilvl w:val="0"/>
          <w:numId w:val="1033"/>
        </w:numPr>
      </w:pPr>
      <w:r>
        <w:t xml:space="preserve">reconciliation impact evaluated</w:t>
      </w:r>
    </w:p>
    <w:p>
      <w:pPr>
        <w:pStyle w:val="Compact"/>
        <w:numPr>
          <w:ilvl w:val="0"/>
          <w:numId w:val="1033"/>
        </w:numPr>
      </w:pPr>
      <w:r>
        <w:t xml:space="preserve">PAPER and LIVE impact evaluated</w:t>
      </w:r>
    </w:p>
    <w:p>
      <w:r>
        <w:pict>
          <v:rect style="width:0;height:1.5pt" o:hralign="center" o:hrstd="t" o:hr="t"/>
        </w:pict>
      </w:r>
    </w:p>
    <w:bookmarkEnd w:id="41"/>
    <w:bookmarkStart w:id="42" w:name="phase-completion-criteria"/>
    <w:p>
      <w:pPr>
        <w:pStyle w:val="Heading1"/>
      </w:pPr>
      <w:r>
        <w:t xml:space="preserve">Phase Completion Criteria</w:t>
      </w:r>
    </w:p>
    <w:p>
      <w:pPr>
        <w:pStyle w:val="FirstParagraph"/>
      </w:pPr>
      <w:r>
        <w:t xml:space="preserve">A phase or capability milestone is complete only when relevant outcomes are implemented and verified.</w:t>
      </w:r>
    </w:p>
    <w:p>
      <w:pPr>
        <w:pStyle w:val="BodyText"/>
      </w:pPr>
      <w:r>
        <w:t xml:space="preserve">Verify:</w:t>
      </w:r>
    </w:p>
    <w:p>
      <w:pPr>
        <w:pStyle w:val="Compact"/>
        <w:numPr>
          <w:ilvl w:val="0"/>
          <w:numId w:val="1034"/>
        </w:numPr>
      </w:pPr>
      <w:r>
        <w:t xml:space="preserve">required capability behaviour exists</w:t>
      </w:r>
    </w:p>
    <w:p>
      <w:pPr>
        <w:pStyle w:val="Compact"/>
        <w:numPr>
          <w:ilvl w:val="0"/>
          <w:numId w:val="1034"/>
        </w:numPr>
      </w:pPr>
      <w:r>
        <w:t xml:space="preserve">architecture boundaries remain consistent</w:t>
      </w:r>
    </w:p>
    <w:p>
      <w:pPr>
        <w:pStyle w:val="Compact"/>
        <w:numPr>
          <w:ilvl w:val="0"/>
          <w:numId w:val="1034"/>
        </w:numPr>
      </w:pPr>
      <w:r>
        <w:t xml:space="preserve">state transitions are deterministic</w:t>
      </w:r>
    </w:p>
    <w:p>
      <w:pPr>
        <w:pStyle w:val="Compact"/>
        <w:numPr>
          <w:ilvl w:val="0"/>
          <w:numId w:val="1034"/>
        </w:numPr>
      </w:pPr>
      <w:r>
        <w:t xml:space="preserve">external side effects are explicit</w:t>
      </w:r>
    </w:p>
    <w:p>
      <w:pPr>
        <w:pStyle w:val="Compact"/>
        <w:numPr>
          <w:ilvl w:val="0"/>
          <w:numId w:val="1034"/>
        </w:numPr>
      </w:pPr>
      <w:r>
        <w:t xml:space="preserve">focused tests pass</w:t>
      </w:r>
    </w:p>
    <w:p>
      <w:pPr>
        <w:pStyle w:val="Compact"/>
        <w:numPr>
          <w:ilvl w:val="0"/>
          <w:numId w:val="1034"/>
        </w:numPr>
      </w:pPr>
      <w:r>
        <w:t xml:space="preserve">required regression tests pass</w:t>
      </w:r>
    </w:p>
    <w:p>
      <w:pPr>
        <w:pStyle w:val="Compact"/>
        <w:numPr>
          <w:ilvl w:val="0"/>
          <w:numId w:val="1034"/>
        </w:numPr>
      </w:pPr>
      <w:r>
        <w:t xml:space="preserve">source quality checks pass</w:t>
      </w:r>
    </w:p>
    <w:p>
      <w:pPr>
        <w:pStyle w:val="Compact"/>
        <w:numPr>
          <w:ilvl w:val="0"/>
          <w:numId w:val="1034"/>
        </w:numPr>
      </w:pPr>
      <w:r>
        <w:t xml:space="preserve">documentation is synchronized</w:t>
      </w:r>
    </w:p>
    <w:p>
      <w:pPr>
        <w:pStyle w:val="Compact"/>
        <w:numPr>
          <w:ilvl w:val="0"/>
          <w:numId w:val="1034"/>
        </w:numPr>
      </w:pPr>
      <w:r>
        <w:t xml:space="preserve">documentation generation passes</w:t>
      </w:r>
    </w:p>
    <w:p>
      <w:pPr>
        <w:pStyle w:val="Compact"/>
        <w:numPr>
          <w:ilvl w:val="0"/>
          <w:numId w:val="1034"/>
        </w:numPr>
      </w:pPr>
      <w:r>
        <w:t xml:space="preserve">operational impact is reviewed</w:t>
      </w:r>
    </w:p>
    <w:p>
      <w:pPr>
        <w:pStyle w:val="FirstParagraph"/>
      </w:pPr>
      <w:r>
        <w:t xml:space="preserve">For trading-critical capabilities additionally verify:</w:t>
      </w:r>
    </w:p>
    <w:p>
      <w:pPr>
        <w:pStyle w:val="Compact"/>
        <w:numPr>
          <w:ilvl w:val="0"/>
          <w:numId w:val="1035"/>
        </w:numPr>
      </w:pPr>
      <w:r>
        <w:t xml:space="preserve">duplicate submission protection</w:t>
      </w:r>
    </w:p>
    <w:p>
      <w:pPr>
        <w:pStyle w:val="Compact"/>
        <w:numPr>
          <w:ilvl w:val="0"/>
          <w:numId w:val="1035"/>
        </w:numPr>
      </w:pPr>
      <w:r>
        <w:t xml:space="preserve">broker acknowledgement semantics</w:t>
      </w:r>
    </w:p>
    <w:p>
      <w:pPr>
        <w:pStyle w:val="Compact"/>
        <w:numPr>
          <w:ilvl w:val="0"/>
          <w:numId w:val="1035"/>
        </w:numPr>
      </w:pPr>
      <w:r>
        <w:t xml:space="preserve">timeout behaviour</w:t>
      </w:r>
    </w:p>
    <w:p>
      <w:pPr>
        <w:pStyle w:val="Compact"/>
        <w:numPr>
          <w:ilvl w:val="0"/>
          <w:numId w:val="1035"/>
        </w:numPr>
      </w:pPr>
      <w:r>
        <w:t xml:space="preserve">disconnect behaviour</w:t>
      </w:r>
    </w:p>
    <w:p>
      <w:pPr>
        <w:pStyle w:val="Compact"/>
        <w:numPr>
          <w:ilvl w:val="0"/>
          <w:numId w:val="1035"/>
        </w:numPr>
      </w:pPr>
      <w:r>
        <w:t xml:space="preserve">reconnect behaviour</w:t>
      </w:r>
    </w:p>
    <w:p>
      <w:pPr>
        <w:pStyle w:val="Compact"/>
        <w:numPr>
          <w:ilvl w:val="0"/>
          <w:numId w:val="1035"/>
        </w:numPr>
      </w:pPr>
      <w:r>
        <w:t xml:space="preserve">reconciliation impact</w:t>
      </w:r>
    </w:p>
    <w:p>
      <w:pPr>
        <w:pStyle w:val="Compact"/>
        <w:numPr>
          <w:ilvl w:val="0"/>
          <w:numId w:val="1035"/>
        </w:numPr>
      </w:pPr>
      <w:r>
        <w:t xml:space="preserve">PAPER validation where required</w:t>
      </w:r>
    </w:p>
    <w:p>
      <w:pPr>
        <w:pStyle w:val="FirstParagraph"/>
      </w:pPr>
      <w:r>
        <w:t xml:space="preserve">Do not mark a capability complete while known business-critical behaviour remains unresolved.</w:t>
      </w:r>
    </w:p>
    <w:p>
      <w:r>
        <w:pict>
          <v:rect style="width:0;height:1.5pt" o:hralign="center" o:hrstd="t" o:hr="t"/>
        </w:pict>
      </w:r>
    </w:p>
    <w:bookmarkEnd w:id="42"/>
    <w:bookmarkStart w:id="43" w:name="roadmap-governance"/>
    <w:p>
      <w:pPr>
        <w:pStyle w:val="Heading1"/>
      </w:pPr>
      <w:r>
        <w:t xml:space="preserve">Roadmap Governance</w:t>
      </w:r>
    </w:p>
    <w:p>
      <w:pPr>
        <w:pStyle w:val="FirstParagraph"/>
      </w:pPr>
      <w:r>
        <w:t xml:space="preserve">The technical roadmap shall:</w:t>
      </w:r>
    </w:p>
    <w:p>
      <w:pPr>
        <w:pStyle w:val="Compact"/>
        <w:numPr>
          <w:ilvl w:val="0"/>
          <w:numId w:val="1036"/>
        </w:numPr>
      </w:pPr>
      <w:r>
        <w:t xml:space="preserve">align with</w:t>
      </w:r>
      <w:r>
        <w:t xml:space="preserve"> </w:t>
      </w:r>
      <w:r>
        <w:rPr>
          <w:rStyle w:val="VerbatimChar"/>
        </w:rPr>
        <w:t xml:space="preserve">Product_Roadmap.md</w:t>
      </w:r>
    </w:p>
    <w:p>
      <w:pPr>
        <w:pStyle w:val="Compact"/>
        <w:numPr>
          <w:ilvl w:val="0"/>
          <w:numId w:val="1036"/>
        </w:numPr>
      </w:pPr>
      <w:r>
        <w:t xml:space="preserve">prioritize Trading Cockpit requirements</w:t>
      </w:r>
    </w:p>
    <w:p>
      <w:pPr>
        <w:pStyle w:val="Compact"/>
        <w:numPr>
          <w:ilvl w:val="0"/>
          <w:numId w:val="1036"/>
        </w:numPr>
      </w:pPr>
      <w:r>
        <w:t xml:space="preserve">preserve architecture dependency direction</w:t>
      </w:r>
    </w:p>
    <w:p>
      <w:pPr>
        <w:pStyle w:val="Compact"/>
        <w:numPr>
          <w:ilvl w:val="0"/>
          <w:numId w:val="1036"/>
        </w:numPr>
      </w:pPr>
      <w:r>
        <w:t xml:space="preserve">support vertical product capabilities</w:t>
      </w:r>
    </w:p>
    <w:p>
      <w:pPr>
        <w:pStyle w:val="Compact"/>
        <w:numPr>
          <w:ilvl w:val="0"/>
          <w:numId w:val="1036"/>
        </w:numPr>
      </w:pPr>
      <w:r>
        <w:t xml:space="preserve">avoid speculative platform infrastructure</w:t>
      </w:r>
    </w:p>
    <w:p>
      <w:pPr>
        <w:pStyle w:val="Compact"/>
        <w:numPr>
          <w:ilvl w:val="0"/>
          <w:numId w:val="1036"/>
        </w:numPr>
      </w:pPr>
      <w:r>
        <w:t xml:space="preserve">remain reviewable</w:t>
      </w:r>
    </w:p>
    <w:p>
      <w:pPr>
        <w:pStyle w:val="Compact"/>
        <w:numPr>
          <w:ilvl w:val="0"/>
          <w:numId w:val="1036"/>
        </w:numPr>
      </w:pPr>
      <w:r>
        <w:t xml:space="preserve">evolve after major product or architecture decisions</w:t>
      </w:r>
    </w:p>
    <w:p>
      <w:pPr>
        <w:pStyle w:val="FirstParagraph"/>
      </w:pPr>
      <w:r>
        <w:t xml:space="preserve">Roadmap phases express implementation priority.</w:t>
      </w:r>
    </w:p>
    <w:p>
      <w:pPr>
        <w:pStyle w:val="BodyText"/>
      </w:pPr>
      <w:r>
        <w:t xml:space="preserve">They are not permission to implement every listed capability without a concrete requirement.</w:t>
      </w:r>
    </w:p>
    <w:p>
      <w:r>
        <w:pict>
          <v:rect style="width:0;height:1.5pt" o:hralign="center" o:hrstd="t" o:hr="t"/>
        </w:pict>
      </w:r>
    </w:p>
    <w:bookmarkEnd w:id="43"/>
    <w:bookmarkStart w:id="44" w:name="roadmap-change-process"/>
    <w:p>
      <w:pPr>
        <w:pStyle w:val="Heading1"/>
      </w:pPr>
      <w:r>
        <w:t xml:space="preserve">Roadmap Change Process</w:t>
      </w:r>
    </w:p>
    <w:p>
      <w:pPr>
        <w:pStyle w:val="FirstParagraph"/>
      </w:pPr>
      <w:r>
        <w:t xml:space="preserve">When roadmap direction changes:</w:t>
      </w:r>
    </w:p>
    <w:p>
      <w:pPr>
        <w:pStyle w:val="Compact"/>
        <w:numPr>
          <w:ilvl w:val="0"/>
          <w:numId w:val="1037"/>
        </w:numPr>
      </w:pPr>
      <w:r>
        <w:t xml:space="preserve">Identify the product or technical trigger.</w:t>
      </w:r>
    </w:p>
    <w:p>
      <w:pPr>
        <w:pStyle w:val="Compact"/>
        <w:numPr>
          <w:ilvl w:val="0"/>
          <w:numId w:val="1037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Product_Roadmap.md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Decision_Log.md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Review relevant ADRs.</w:t>
      </w:r>
    </w:p>
    <w:p>
      <w:pPr>
        <w:pStyle w:val="Compact"/>
        <w:numPr>
          <w:ilvl w:val="0"/>
          <w:numId w:val="1037"/>
        </w:numPr>
      </w:pPr>
      <w:r>
        <w:t xml:space="preserve">Evaluate affected phases.</w:t>
      </w:r>
    </w:p>
    <w:p>
      <w:pPr>
        <w:pStyle w:val="Compact"/>
        <w:numPr>
          <w:ilvl w:val="0"/>
          <w:numId w:val="1037"/>
        </w:numPr>
      </w:pPr>
      <w:r>
        <w:t xml:space="preserve">Update this roadmap.</w:t>
      </w:r>
    </w:p>
    <w:p>
      <w:pPr>
        <w:pStyle w:val="Compact"/>
        <w:numPr>
          <w:ilvl w:val="0"/>
          <w:numId w:val="1037"/>
        </w:numPr>
      </w:pPr>
      <w:r>
        <w:t xml:space="preserve">Update dependent documentation.</w:t>
      </w:r>
    </w:p>
    <w:p>
      <w:pPr>
        <w:pStyle w:val="Compact"/>
        <w:numPr>
          <w:ilvl w:val="0"/>
          <w:numId w:val="1037"/>
        </w:numPr>
      </w:pPr>
      <w:r>
        <w:t xml:space="preserve">Record a significant product or process decision where required.</w:t>
      </w:r>
    </w:p>
    <w:p>
      <w:pPr>
        <w:pStyle w:val="Compact"/>
        <w:numPr>
          <w:ilvl w:val="0"/>
          <w:numId w:val="1037"/>
        </w:numPr>
      </w:pPr>
      <w:r>
        <w:t xml:space="preserve">Create an ADR where architecture-significant rationale is required.</w:t>
      </w:r>
    </w:p>
    <w:p>
      <w:pPr>
        <w:pStyle w:val="FirstParagraph"/>
      </w:pPr>
      <w:r>
        <w:t xml:space="preserve">Do not silently change roadmap direction through isolated implementation work.</w:t>
      </w:r>
    </w:p>
    <w:p>
      <w:r>
        <w:pict>
          <v:rect style="width:0;height:1.5pt" o:hralign="center" o:hrstd="t" o:hr="t"/>
        </w:pict>
      </w:r>
    </w:p>
    <w:bookmarkEnd w:id="44"/>
    <w:bookmarkStart w:id="45" w:name="success-criteria"/>
    <w:p>
      <w:pPr>
        <w:pStyle w:val="Heading1"/>
      </w:pPr>
      <w:r>
        <w:t xml:space="preserve">Success Criteria</w:t>
      </w:r>
    </w:p>
    <w:p>
      <w:pPr>
        <w:pStyle w:val="FirstParagraph"/>
      </w:pPr>
      <w:r>
        <w:t xml:space="preserve">The technical roadmap is successful when:</w:t>
      </w:r>
    </w:p>
    <w:p>
      <w:pPr>
        <w:pStyle w:val="Compact"/>
        <w:numPr>
          <w:ilvl w:val="0"/>
          <w:numId w:val="1038"/>
        </w:numPr>
      </w:pPr>
      <w:r>
        <w:t xml:space="preserve">Trading Cockpit capabilities deliver concrete product value</w:t>
      </w:r>
    </w:p>
    <w:p>
      <w:pPr>
        <w:pStyle w:val="Compact"/>
        <w:numPr>
          <w:ilvl w:val="0"/>
          <w:numId w:val="1038"/>
        </w:numPr>
      </w:pPr>
      <w:r>
        <w:t xml:space="preserve">architecture boundaries remain consistent</w:t>
      </w:r>
    </w:p>
    <w:p>
      <w:pPr>
        <w:pStyle w:val="Compact"/>
        <w:numPr>
          <w:ilvl w:val="0"/>
          <w:numId w:val="1038"/>
        </w:numPr>
      </w:pPr>
      <w:r>
        <w:t xml:space="preserve">capability ownership remains clear</w:t>
      </w:r>
    </w:p>
    <w:p>
      <w:pPr>
        <w:pStyle w:val="Compact"/>
        <w:numPr>
          <w:ilvl w:val="0"/>
          <w:numId w:val="1038"/>
        </w:numPr>
      </w:pPr>
      <w:r>
        <w:t xml:space="preserve">external side effects remain explicit</w:t>
      </w:r>
    </w:p>
    <w:p>
      <w:pPr>
        <w:pStyle w:val="Compact"/>
        <w:numPr>
          <w:ilvl w:val="0"/>
          <w:numId w:val="1038"/>
        </w:numPr>
      </w:pPr>
      <w:r>
        <w:t xml:space="preserve">trading workflows remain deterministic</w:t>
      </w:r>
    </w:p>
    <w:p>
      <w:pPr>
        <w:pStyle w:val="Compact"/>
        <w:numPr>
          <w:ilvl w:val="0"/>
          <w:numId w:val="1038"/>
        </w:numPr>
      </w:pPr>
      <w:r>
        <w:t xml:space="preserve">duplicate submission risk is controlled</w:t>
      </w:r>
    </w:p>
    <w:p>
      <w:pPr>
        <w:pStyle w:val="Compact"/>
        <w:numPr>
          <w:ilvl w:val="0"/>
          <w:numId w:val="1038"/>
        </w:numPr>
      </w:pPr>
      <w:r>
        <w:t xml:space="preserve">broker acknowledgement semantics remain explicit</w:t>
      </w:r>
    </w:p>
    <w:p>
      <w:pPr>
        <w:pStyle w:val="Compact"/>
        <w:numPr>
          <w:ilvl w:val="0"/>
          <w:numId w:val="1038"/>
        </w:numPr>
      </w:pPr>
      <w:r>
        <w:t xml:space="preserve">PAPER and LIVE remain separated</w:t>
      </w:r>
    </w:p>
    <w:p>
      <w:pPr>
        <w:pStyle w:val="Compact"/>
        <w:numPr>
          <w:ilvl w:val="0"/>
          <w:numId w:val="1038"/>
        </w:numPr>
      </w:pPr>
      <w:r>
        <w:t xml:space="preserve">reconciliation remains explicit</w:t>
      </w:r>
    </w:p>
    <w:p>
      <w:pPr>
        <w:pStyle w:val="Compact"/>
        <w:numPr>
          <w:ilvl w:val="0"/>
          <w:numId w:val="1038"/>
        </w:numPr>
      </w:pPr>
      <w:r>
        <w:t xml:space="preserve">documentation stays synchronized</w:t>
      </w:r>
    </w:p>
    <w:p>
      <w:pPr>
        <w:pStyle w:val="Compact"/>
        <w:numPr>
          <w:ilvl w:val="0"/>
          <w:numId w:val="1038"/>
        </w:numPr>
      </w:pPr>
      <w:r>
        <w:t xml:space="preserve">automated regression protection grows with implemented risk</w:t>
      </w:r>
    </w:p>
    <w:p>
      <w:pPr>
        <w:pStyle w:val="Compact"/>
        <w:numPr>
          <w:ilvl w:val="0"/>
          <w:numId w:val="1038"/>
        </w:numPr>
      </w:pPr>
      <w:r>
        <w:t xml:space="preserve">technical debt remains controlled</w:t>
      </w:r>
    </w:p>
    <w:p>
      <w:pPr>
        <w:pStyle w:val="FirstParagraph"/>
      </w:pPr>
      <w:r>
        <w:t xml:space="preserve">Success is measured by safe and maintainable product capability delivery.</w:t>
      </w:r>
    </w:p>
    <w:p>
      <w:pPr>
        <w:pStyle w:val="BodyText"/>
      </w:pPr>
      <w:r>
        <w:t xml:space="preserve">It is not measured by the number of generic platform services implemented.</w:t>
      </w:r>
    </w:p>
    <w:p>
      <w:r>
        <w:pict>
          <v:rect style="width:0;height:1.5pt" o:hralign="center" o:hrstd="t" o:hr="t"/>
        </w:pict>
      </w:r>
    </w:p>
    <w:bookmarkEnd w:id="45"/>
    <w:bookmarkStart w:id="46" w:name="roadmap-review-checklist"/>
    <w:p>
      <w:pPr>
        <w:pStyle w:val="Heading1"/>
      </w:pPr>
      <w:r>
        <w:t xml:space="preserve">Roadmap Review Checklist</w:t>
      </w:r>
    </w:p>
    <w:p>
      <w:pPr>
        <w:pStyle w:val="FirstParagraph"/>
      </w:pPr>
      <w:r>
        <w:t xml:space="preserve">Before starting or reprioritizing a major phase verify:</w:t>
      </w:r>
    </w:p>
    <w:p>
      <w:pPr>
        <w:pStyle w:val="Compact"/>
        <w:numPr>
          <w:ilvl w:val="0"/>
          <w:numId w:val="1039"/>
        </w:numPr>
      </w:pPr>
      <w:r>
        <w:t xml:space="preserve">concrete Trading Cockpit requirement exists</w:t>
      </w:r>
    </w:p>
    <w:p>
      <w:pPr>
        <w:pStyle w:val="Compact"/>
        <w:numPr>
          <w:ilvl w:val="0"/>
          <w:numId w:val="1039"/>
        </w:numPr>
      </w:pPr>
      <w:r>
        <w:t xml:space="preserve">Product Roadmap alignment confirmed</w:t>
      </w:r>
    </w:p>
    <w:p>
      <w:pPr>
        <w:pStyle w:val="Compact"/>
        <w:numPr>
          <w:ilvl w:val="0"/>
          <w:numId w:val="1039"/>
        </w:numPr>
      </w:pPr>
      <w:r>
        <w:t xml:space="preserve">Decision Log reviewed</w:t>
      </w:r>
    </w:p>
    <w:p>
      <w:pPr>
        <w:pStyle w:val="Compact"/>
        <w:numPr>
          <w:ilvl w:val="0"/>
          <w:numId w:val="1039"/>
        </w:numPr>
      </w:pPr>
      <w:r>
        <w:t xml:space="preserve">relevant ADRs reviewed</w:t>
      </w:r>
    </w:p>
    <w:p>
      <w:pPr>
        <w:pStyle w:val="Compact"/>
        <w:numPr>
          <w:ilvl w:val="0"/>
          <w:numId w:val="1039"/>
        </w:numPr>
      </w:pPr>
      <w:r>
        <w:t xml:space="preserve">capability ownership identified</w:t>
      </w:r>
    </w:p>
    <w:p>
      <w:pPr>
        <w:pStyle w:val="Compact"/>
        <w:numPr>
          <w:ilvl w:val="0"/>
          <w:numId w:val="1039"/>
        </w:numPr>
      </w:pPr>
      <w:r>
        <w:t xml:space="preserve">real consumers identified</w:t>
      </w:r>
    </w:p>
    <w:p>
      <w:pPr>
        <w:pStyle w:val="Compact"/>
        <w:numPr>
          <w:ilvl w:val="0"/>
          <w:numId w:val="1039"/>
        </w:numPr>
      </w:pPr>
      <w:r>
        <w:t xml:space="preserve">speculative infrastructure avoided</w:t>
      </w:r>
    </w:p>
    <w:p>
      <w:pPr>
        <w:pStyle w:val="Compact"/>
        <w:numPr>
          <w:ilvl w:val="0"/>
          <w:numId w:val="1039"/>
        </w:numPr>
      </w:pPr>
      <w:r>
        <w:t xml:space="preserve">architecture boundaries understood</w:t>
      </w:r>
    </w:p>
    <w:p>
      <w:pPr>
        <w:pStyle w:val="Compact"/>
        <w:numPr>
          <w:ilvl w:val="0"/>
          <w:numId w:val="1039"/>
        </w:numPr>
      </w:pPr>
      <w:r>
        <w:t xml:space="preserve">dependencies evaluated</w:t>
      </w:r>
    </w:p>
    <w:p>
      <w:pPr>
        <w:pStyle w:val="Compact"/>
        <w:numPr>
          <w:ilvl w:val="0"/>
          <w:numId w:val="1039"/>
        </w:numPr>
      </w:pPr>
      <w:r>
        <w:t xml:space="preserve">runtime impact evaluated</w:t>
      </w:r>
    </w:p>
    <w:p>
      <w:pPr>
        <w:pStyle w:val="Compact"/>
        <w:numPr>
          <w:ilvl w:val="0"/>
          <w:numId w:val="1039"/>
        </w:numPr>
      </w:pPr>
      <w:r>
        <w:t xml:space="preserve">persistence impact evaluated</w:t>
      </w:r>
    </w:p>
    <w:p>
      <w:pPr>
        <w:pStyle w:val="Compact"/>
        <w:numPr>
          <w:ilvl w:val="0"/>
          <w:numId w:val="1039"/>
        </w:numPr>
      </w:pPr>
      <w:r>
        <w:t xml:space="preserve">external side effects evaluated where relevant</w:t>
      </w:r>
    </w:p>
    <w:p>
      <w:pPr>
        <w:pStyle w:val="Compact"/>
        <w:numPr>
          <w:ilvl w:val="0"/>
          <w:numId w:val="1039"/>
        </w:numPr>
      </w:pPr>
      <w:r>
        <w:t xml:space="preserve">duplicate submission risk evaluated where relevant</w:t>
      </w:r>
    </w:p>
    <w:p>
      <w:pPr>
        <w:pStyle w:val="Compact"/>
        <w:numPr>
          <w:ilvl w:val="0"/>
          <w:numId w:val="1039"/>
        </w:numPr>
      </w:pPr>
      <w:r>
        <w:t xml:space="preserve">retry behaviour evaluated where relevant</w:t>
      </w:r>
    </w:p>
    <w:p>
      <w:pPr>
        <w:pStyle w:val="Compact"/>
        <w:numPr>
          <w:ilvl w:val="0"/>
          <w:numId w:val="1039"/>
        </w:numPr>
      </w:pPr>
      <w:r>
        <w:t xml:space="preserve">broker acknowledgement evaluated where relevant</w:t>
      </w:r>
    </w:p>
    <w:p>
      <w:pPr>
        <w:pStyle w:val="Compact"/>
        <w:numPr>
          <w:ilvl w:val="0"/>
          <w:numId w:val="1039"/>
        </w:numPr>
      </w:pPr>
      <w:r>
        <w:t xml:space="preserve">reconciliation impact evaluated where relevant</w:t>
      </w:r>
    </w:p>
    <w:p>
      <w:pPr>
        <w:pStyle w:val="Compact"/>
        <w:numPr>
          <w:ilvl w:val="0"/>
          <w:numId w:val="1039"/>
        </w:numPr>
      </w:pPr>
      <w:r>
        <w:t xml:space="preserve">PAPER and LIVE impact evaluated where relevant</w:t>
      </w:r>
    </w:p>
    <w:p>
      <w:pPr>
        <w:pStyle w:val="Compact"/>
        <w:numPr>
          <w:ilvl w:val="0"/>
          <w:numId w:val="1039"/>
        </w:numPr>
      </w:pPr>
      <w:r>
        <w:t xml:space="preserve">testing strategy defined</w:t>
      </w:r>
    </w:p>
    <w:p>
      <w:pPr>
        <w:pStyle w:val="Compact"/>
        <w:numPr>
          <w:ilvl w:val="0"/>
          <w:numId w:val="1039"/>
        </w:numPr>
      </w:pPr>
      <w:r>
        <w:t xml:space="preserve">documentation impact identified</w:t>
      </w:r>
    </w:p>
    <w:p>
      <w:pPr>
        <w:pStyle w:val="Compact"/>
        <w:numPr>
          <w:ilvl w:val="0"/>
          <w:numId w:val="1039"/>
        </w:numPr>
      </w:pPr>
      <w:r>
        <w:t xml:space="preserve">implementation priorities confirmed</w:t>
      </w:r>
    </w:p>
    <w:p>
      <w:r>
        <w:pict>
          <v:rect style="width:0;height:1.5pt" o:hralign="center" o:hrstd="t" o:hr="t"/>
        </w:pict>
      </w:r>
    </w:p>
    <w:bookmarkEnd w:id="46"/>
    <w:bookmarkStart w:id="47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40"/>
        </w:numPr>
      </w:pPr>
      <w:r>
        <w:t xml:space="preserve">Product_Vision.md</w:t>
      </w:r>
    </w:p>
    <w:p>
      <w:pPr>
        <w:pStyle w:val="Compact"/>
        <w:numPr>
          <w:ilvl w:val="0"/>
          <w:numId w:val="1040"/>
        </w:numPr>
      </w:pPr>
      <w:r>
        <w:t xml:space="preserve">Product_Roadmap.md</w:t>
      </w:r>
    </w:p>
    <w:p>
      <w:pPr>
        <w:pStyle w:val="Compact"/>
        <w:numPr>
          <w:ilvl w:val="0"/>
          <w:numId w:val="1040"/>
        </w:numPr>
      </w:pPr>
      <w:r>
        <w:t xml:space="preserve">Project_Overview.md</w:t>
      </w:r>
    </w:p>
    <w:p>
      <w:pPr>
        <w:pStyle w:val="Compact"/>
        <w:numPr>
          <w:ilvl w:val="0"/>
          <w:numId w:val="1040"/>
        </w:numPr>
      </w:pPr>
      <w:r>
        <w:t xml:space="preserve">Architecture.md</w:t>
      </w:r>
    </w:p>
    <w:p>
      <w:pPr>
        <w:pStyle w:val="Compact"/>
        <w:numPr>
          <w:ilvl w:val="0"/>
          <w:numId w:val="1040"/>
        </w:numPr>
      </w:pPr>
      <w:r>
        <w:t xml:space="preserve">Domain_Model.md</w:t>
      </w:r>
    </w:p>
    <w:p>
      <w:pPr>
        <w:pStyle w:val="Compact"/>
        <w:numPr>
          <w:ilvl w:val="0"/>
          <w:numId w:val="1040"/>
        </w:numPr>
      </w:pPr>
      <w:r>
        <w:t xml:space="preserve">Infrastructure.md</w:t>
      </w:r>
    </w:p>
    <w:p>
      <w:pPr>
        <w:pStyle w:val="Compact"/>
        <w:numPr>
          <w:ilvl w:val="0"/>
          <w:numId w:val="1040"/>
        </w:numPr>
      </w:pPr>
      <w:r>
        <w:t xml:space="preserve">Technical_Specifications.md</w:t>
      </w:r>
    </w:p>
    <w:p>
      <w:pPr>
        <w:pStyle w:val="Compact"/>
        <w:numPr>
          <w:ilvl w:val="0"/>
          <w:numId w:val="1040"/>
        </w:numPr>
      </w:pPr>
      <w:r>
        <w:t xml:space="preserve">Decision_Log.md</w:t>
      </w:r>
    </w:p>
    <w:p>
      <w:pPr>
        <w:pStyle w:val="Compact"/>
        <w:numPr>
          <w:ilvl w:val="0"/>
          <w:numId w:val="1040"/>
        </w:numPr>
      </w:pPr>
      <w:r>
        <w:t xml:space="preserve">Runtime.md</w:t>
      </w:r>
    </w:p>
    <w:p>
      <w:pPr>
        <w:pStyle w:val="Compact"/>
        <w:numPr>
          <w:ilvl w:val="0"/>
          <w:numId w:val="1040"/>
        </w:numPr>
      </w:pPr>
      <w:r>
        <w:t xml:space="preserve">Configuration.md</w:t>
      </w:r>
    </w:p>
    <w:p>
      <w:pPr>
        <w:pStyle w:val="Compact"/>
        <w:numPr>
          <w:ilvl w:val="0"/>
          <w:numId w:val="1040"/>
        </w:numPr>
      </w:pPr>
      <w:r>
        <w:t xml:space="preserve">Testing_Strategy.md</w:t>
      </w:r>
    </w:p>
    <w:p>
      <w:pPr>
        <w:pStyle w:val="Compact"/>
        <w:numPr>
          <w:ilvl w:val="0"/>
          <w:numId w:val="1040"/>
        </w:numPr>
      </w:pPr>
      <w:r>
        <w:t xml:space="preserve">Development_Guidelines.md</w:t>
      </w:r>
    </w:p>
    <w:p>
      <w:pPr>
        <w:pStyle w:val="Compact"/>
        <w:numPr>
          <w:ilvl w:val="0"/>
          <w:numId w:val="1040"/>
        </w:numPr>
      </w:pPr>
      <w:r>
        <w:t xml:space="preserve">CI_CD.md</w:t>
      </w:r>
    </w:p>
    <w:p>
      <w:pPr>
        <w:pStyle w:val="Compact"/>
        <w:numPr>
          <w:ilvl w:val="0"/>
          <w:numId w:val="1040"/>
        </w:numPr>
      </w:pPr>
      <w:r>
        <w:t xml:space="preserve">AI_Agent_Guide.md</w:t>
      </w:r>
    </w:p>
    <w:p>
      <w:pPr>
        <w:pStyle w:val="Compact"/>
        <w:numPr>
          <w:ilvl w:val="0"/>
          <w:numId w:val="1040"/>
        </w:numPr>
      </w:pPr>
      <w:r>
        <w:t xml:space="preserve">AGENTS.md</w:t>
      </w:r>
    </w:p>
    <w:p>
      <w:pPr>
        <w:pStyle w:val="Compact"/>
        <w:numPr>
          <w:ilvl w:val="0"/>
          <w:numId w:val="1040"/>
        </w:numPr>
      </w:pPr>
      <w:r>
        <w:t xml:space="preserve">docs/adr/README.md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2026-07-06T08:18:50Z</dcterms:created>
  <dcterms:modified xsi:type="dcterms:W3CDTF">2026-07-06T08:18:50Z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