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duct-vision"/>
    <w:p>
      <w:pPr>
        <w:pStyle w:val="Heading1"/>
      </w:pPr>
      <w:r>
        <w:t xml:space="preserve">Product Vision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vision-statement"/>
    <w:p>
      <w:pPr>
        <w:pStyle w:val="Heading1"/>
      </w:pPr>
      <w:r>
        <w:t xml:space="preserve">Vision Statement</w:t>
      </w:r>
    </w:p>
    <w:p>
      <w:pPr>
        <w:pStyle w:val="FirstParagraph"/>
      </w:pPr>
      <w:r>
        <w:t xml:space="preserve">Trading Platform Pro shall provide a professional Trading Cockpit that gives active traders a unified, reliable and transparent workspace for monitoring markets, evaluating trading opportunities and managing trading workflows.</w:t>
      </w:r>
    </w:p>
    <w:p>
      <w:pPr>
        <w:pStyle w:val="BodyText"/>
      </w:pPr>
      <w:r>
        <w:t xml:space="preserve">The Trading Cockpit is the primary product and the foundation for future platform capabilities.</w:t>
      </w:r>
    </w:p>
    <w:p>
      <w:r>
        <w:pict>
          <v:rect style="width:0;height:1.5pt" o:hralign="center" o:hrstd="t" o:hr="t"/>
        </w:pict>
      </w:r>
    </w:p>
    <w:bookmarkEnd w:id="10"/>
    <w:bookmarkStart w:id="11" w:name="mission"/>
    <w:p>
      <w:pPr>
        <w:pStyle w:val="Heading1"/>
      </w:pPr>
      <w:r>
        <w:t xml:space="preserve">Mission</w:t>
      </w:r>
    </w:p>
    <w:p>
      <w:pPr>
        <w:pStyle w:val="FirstParagraph"/>
      </w:pPr>
      <w:r>
        <w:t xml:space="preserve">Our mission is to reduce fragmentation in professional trading workflows.</w:t>
      </w:r>
    </w:p>
    <w:p>
      <w:pPr>
        <w:pStyle w:val="BodyText"/>
      </w:pPr>
      <w:r>
        <w:t xml:space="preserve">Trading Platform Pro combines market information, watchlists, trading tools, portfolio visibility, risk information and decision support in one configurable desktop workspace.</w:t>
      </w:r>
    </w:p>
    <w:p>
      <w:pPr>
        <w:pStyle w:val="BodyText"/>
      </w:pPr>
      <w:r>
        <w:t xml:space="preserve">The platform shall help traders understand the current market state, identify relevant opportunities and act with greater clarity and operational confidence.</w:t>
      </w:r>
    </w:p>
    <w:p>
      <w:r>
        <w:pict>
          <v:rect style="width:0;height:1.5pt" o:hralign="center" o:hrstd="t" o:hr="t"/>
        </w:pict>
      </w:r>
    </w:p>
    <w:bookmarkEnd w:id="11"/>
    <w:bookmarkStart w:id="12" w:name="primary-user-problem"/>
    <w:p>
      <w:pPr>
        <w:pStyle w:val="Heading1"/>
      </w:pPr>
      <w:r>
        <w:t xml:space="preserve">Primary User Problem</w:t>
      </w:r>
    </w:p>
    <w:p>
      <w:pPr>
        <w:pStyle w:val="FirstParagraph"/>
      </w:pPr>
      <w:r>
        <w:t xml:space="preserve">Active traders often work with multiple disconnected tools, windows and data sources.</w:t>
      </w:r>
    </w:p>
    <w:p>
      <w:pPr>
        <w:pStyle w:val="BodyText"/>
      </w:pPr>
      <w:r>
        <w:t xml:space="preserve">Typical problems include:</w:t>
      </w:r>
    </w:p>
    <w:p>
      <w:pPr>
        <w:pStyle w:val="Compact"/>
        <w:numPr>
          <w:ilvl w:val="0"/>
          <w:numId w:val="1001"/>
        </w:numPr>
      </w:pPr>
      <w:r>
        <w:t xml:space="preserve">fragmented market information</w:t>
      </w:r>
    </w:p>
    <w:p>
      <w:pPr>
        <w:pStyle w:val="Compact"/>
        <w:numPr>
          <w:ilvl w:val="0"/>
          <w:numId w:val="1001"/>
        </w:numPr>
      </w:pPr>
      <w:r>
        <w:t xml:space="preserve">disconnected watchlists and scanners</w:t>
      </w:r>
    </w:p>
    <w:p>
      <w:pPr>
        <w:pStyle w:val="Compact"/>
        <w:numPr>
          <w:ilvl w:val="0"/>
          <w:numId w:val="1001"/>
        </w:numPr>
      </w:pPr>
      <w:r>
        <w:t xml:space="preserve">limited portfolio context</w:t>
      </w:r>
    </w:p>
    <w:p>
      <w:pPr>
        <w:pStyle w:val="Compact"/>
        <w:numPr>
          <w:ilvl w:val="0"/>
          <w:numId w:val="1001"/>
        </w:numPr>
      </w:pPr>
      <w:r>
        <w:t xml:space="preserve">separate order and broker interfaces</w:t>
      </w:r>
    </w:p>
    <w:p>
      <w:pPr>
        <w:pStyle w:val="Compact"/>
        <w:numPr>
          <w:ilvl w:val="0"/>
          <w:numId w:val="1001"/>
        </w:numPr>
      </w:pPr>
      <w:r>
        <w:t xml:space="preserve">manual transfer of information between tools</w:t>
      </w:r>
    </w:p>
    <w:p>
      <w:pPr>
        <w:pStyle w:val="Compact"/>
        <w:numPr>
          <w:ilvl w:val="0"/>
          <w:numId w:val="1001"/>
        </w:numPr>
      </w:pPr>
      <w:r>
        <w:t xml:space="preserve">inconsistent trading workflows</w:t>
      </w:r>
    </w:p>
    <w:p>
      <w:pPr>
        <w:pStyle w:val="Compact"/>
        <w:numPr>
          <w:ilvl w:val="0"/>
          <w:numId w:val="1001"/>
        </w:numPr>
      </w:pPr>
      <w:r>
        <w:t xml:space="preserve">insufficient operational transparency</w:t>
      </w:r>
    </w:p>
    <w:p>
      <w:pPr>
        <w:pStyle w:val="FirstParagraph"/>
      </w:pPr>
      <w:r>
        <w:t xml:space="preserve">Trading Platform Pro shall consolidate these workflows into one Trading Cockpit.</w:t>
      </w:r>
    </w:p>
    <w:p>
      <w:r>
        <w:pict>
          <v:rect style="width:0;height:1.5pt" o:hralign="center" o:hrstd="t" o:hr="t"/>
        </w:pict>
      </w:r>
    </w:p>
    <w:bookmarkEnd w:id="12"/>
    <w:bookmarkStart w:id="13" w:name="primary-target-users"/>
    <w:p>
      <w:pPr>
        <w:pStyle w:val="Heading1"/>
      </w:pPr>
      <w:r>
        <w:t xml:space="preserve">Primary Target Users</w:t>
      </w:r>
    </w:p>
    <w:p>
      <w:pPr>
        <w:pStyle w:val="FirstParagraph"/>
      </w:pPr>
      <w:r>
        <w:t xml:space="preserve">The initial product is designed primarily for:</w:t>
      </w:r>
    </w:p>
    <w:p>
      <w:pPr>
        <w:pStyle w:val="Compact"/>
        <w:numPr>
          <w:ilvl w:val="0"/>
          <w:numId w:val="1002"/>
        </w:numPr>
      </w:pPr>
      <w:r>
        <w:t xml:space="preserve">active private traders</w:t>
      </w:r>
    </w:p>
    <w:p>
      <w:pPr>
        <w:pStyle w:val="Compact"/>
        <w:numPr>
          <w:ilvl w:val="0"/>
          <w:numId w:val="1002"/>
        </w:numPr>
      </w:pPr>
      <w:r>
        <w:t xml:space="preserve">professional discretionary traders</w:t>
      </w:r>
    </w:p>
    <w:p>
      <w:pPr>
        <w:pStyle w:val="Compact"/>
        <w:numPr>
          <w:ilvl w:val="0"/>
          <w:numId w:val="1002"/>
        </w:numPr>
      </w:pPr>
      <w:r>
        <w:t xml:space="preserve">systematic traders using manual or semi-automated workflows</w:t>
      </w:r>
    </w:p>
    <w:p>
      <w:pPr>
        <w:pStyle w:val="FirstParagraph"/>
      </w:pPr>
      <w:r>
        <w:t xml:space="preserve">Developers and quantitative traders are secondary users where they extend or integrate platform capabilities.</w:t>
      </w:r>
    </w:p>
    <w:p>
      <w:pPr>
        <w:pStyle w:val="BodyText"/>
      </w:pPr>
      <w:r>
        <w:t xml:space="preserve">AI-assisted workflows are future platform capabilities and are not the primary user group.</w:t>
      </w:r>
    </w:p>
    <w:p>
      <w:r>
        <w:pict>
          <v:rect style="width:0;height:1.5pt" o:hralign="center" o:hrstd="t" o:hr="t"/>
        </w:pict>
      </w:r>
    </w:p>
    <w:bookmarkEnd w:id="13"/>
    <w:bookmarkStart w:id="14" w:name="core-product-value"/>
    <w:p>
      <w:pPr>
        <w:pStyle w:val="Heading1"/>
      </w:pPr>
      <w:r>
        <w:t xml:space="preserve">Core Product Value</w:t>
      </w:r>
    </w:p>
    <w:p>
      <w:pPr>
        <w:pStyle w:val="FirstParagraph"/>
      </w:pPr>
      <w:r>
        <w:t xml:space="preserve">The Trading Cockpit shall provide:</w:t>
      </w:r>
    </w:p>
    <w:p>
      <w:pPr>
        <w:pStyle w:val="Compact"/>
        <w:numPr>
          <w:ilvl w:val="0"/>
          <w:numId w:val="1003"/>
        </w:numPr>
      </w:pPr>
      <w:r>
        <w:t xml:space="preserve">one unified trading workspace</w:t>
      </w:r>
    </w:p>
    <w:p>
      <w:pPr>
        <w:pStyle w:val="Compact"/>
        <w:numPr>
          <w:ilvl w:val="0"/>
          <w:numId w:val="1003"/>
        </w:numPr>
      </w:pPr>
      <w:r>
        <w:t xml:space="preserve">configurable and persistent workspaces</w:t>
      </w:r>
    </w:p>
    <w:p>
      <w:pPr>
        <w:pStyle w:val="Compact"/>
        <w:numPr>
          <w:ilvl w:val="0"/>
          <w:numId w:val="1003"/>
        </w:numPr>
      </w:pPr>
      <w:r>
        <w:t xml:space="preserve">consolidated market context</w:t>
      </w:r>
    </w:p>
    <w:p>
      <w:pPr>
        <w:pStyle w:val="Compact"/>
        <w:numPr>
          <w:ilvl w:val="0"/>
          <w:numId w:val="1003"/>
        </w:numPr>
      </w:pPr>
      <w:r>
        <w:t xml:space="preserve">fast access to relevant trading information</w:t>
      </w:r>
    </w:p>
    <w:p>
      <w:pPr>
        <w:pStyle w:val="Compact"/>
        <w:numPr>
          <w:ilvl w:val="0"/>
          <w:numId w:val="1003"/>
        </w:numPr>
      </w:pPr>
      <w:r>
        <w:t xml:space="preserve">transparent portfolio and risk visibility</w:t>
      </w:r>
    </w:p>
    <w:p>
      <w:pPr>
        <w:pStyle w:val="Compact"/>
        <w:numPr>
          <w:ilvl w:val="0"/>
          <w:numId w:val="1003"/>
        </w:numPr>
      </w:pPr>
      <w:r>
        <w:t xml:space="preserve">integrated trading workflows</w:t>
      </w:r>
    </w:p>
    <w:p>
      <w:pPr>
        <w:pStyle w:val="Compact"/>
        <w:numPr>
          <w:ilvl w:val="0"/>
          <w:numId w:val="1003"/>
        </w:numPr>
      </w:pPr>
      <w:r>
        <w:t xml:space="preserve">deterministic application behaviour</w:t>
      </w:r>
    </w:p>
    <w:p>
      <w:pPr>
        <w:pStyle w:val="Compact"/>
        <w:numPr>
          <w:ilvl w:val="0"/>
          <w:numId w:val="1003"/>
        </w:numPr>
      </w:pPr>
      <w:r>
        <w:t xml:space="preserve">reliable operational feedback</w:t>
      </w:r>
    </w:p>
    <w:p>
      <w:pPr>
        <w:pStyle w:val="FirstParagraph"/>
      </w:pPr>
      <w:r>
        <w:t xml:space="preserve">The primary product value is not the number of available features.</w:t>
      </w:r>
    </w:p>
    <w:p>
      <w:pPr>
        <w:pStyle w:val="BodyText"/>
      </w:pPr>
      <w:r>
        <w:t xml:space="preserve">The primary value is the integration of trading workflows into one coherent workspace.</w:t>
      </w:r>
    </w:p>
    <w:p>
      <w:r>
        <w:pict>
          <v:rect style="width:0;height:1.5pt" o:hralign="center" o:hrstd="t" o:hr="t"/>
        </w:pict>
      </w:r>
    </w:p>
    <w:bookmarkEnd w:id="14"/>
    <w:bookmarkStart w:id="15" w:name="product-focus"/>
    <w:p>
      <w:pPr>
        <w:pStyle w:val="Heading1"/>
      </w:pPr>
      <w:r>
        <w:t xml:space="preserve">Product Focus</w:t>
      </w:r>
    </w:p>
    <w:p>
      <w:pPr>
        <w:pStyle w:val="FirstParagraph"/>
      </w:pPr>
      <w:r>
        <w:t xml:space="preserve">The initial product focus is the Trading Cockpit.</w:t>
      </w:r>
    </w:p>
    <w:p>
      <w:pPr>
        <w:pStyle w:val="BodyText"/>
      </w:pPr>
      <w:r>
        <w:t xml:space="preserve">Core capability areas are:</w:t>
      </w:r>
    </w:p>
    <w:p>
      <w:pPr>
        <w:pStyle w:val="Compact"/>
        <w:numPr>
          <w:ilvl w:val="0"/>
          <w:numId w:val="1004"/>
        </w:numPr>
      </w:pPr>
      <w:r>
        <w:t xml:space="preserve">Market Overview</w:t>
      </w:r>
    </w:p>
    <w:p>
      <w:pPr>
        <w:pStyle w:val="Compact"/>
        <w:numPr>
          <w:ilvl w:val="0"/>
          <w:numId w:val="1004"/>
        </w:numPr>
      </w:pPr>
      <w:r>
        <w:t xml:space="preserve">Watchlists</w:t>
      </w:r>
    </w:p>
    <w:p>
      <w:pPr>
        <w:pStyle w:val="Compact"/>
        <w:numPr>
          <w:ilvl w:val="0"/>
          <w:numId w:val="1004"/>
        </w:numPr>
      </w:pPr>
      <w:r>
        <w:t xml:space="preserve">Market Scanner</w:t>
      </w:r>
    </w:p>
    <w:p>
      <w:pPr>
        <w:pStyle w:val="Compact"/>
        <w:numPr>
          <w:ilvl w:val="0"/>
          <w:numId w:val="1004"/>
        </w:numPr>
      </w:pPr>
      <w:r>
        <w:t xml:space="preserve">Charts</w:t>
      </w:r>
    </w:p>
    <w:p>
      <w:pPr>
        <w:pStyle w:val="Compact"/>
        <w:numPr>
          <w:ilvl w:val="0"/>
          <w:numId w:val="1004"/>
        </w:numPr>
      </w:pPr>
      <w:r>
        <w:t xml:space="preserve">Portfolio Overview</w:t>
      </w:r>
    </w:p>
    <w:p>
      <w:pPr>
        <w:pStyle w:val="Compact"/>
        <w:numPr>
          <w:ilvl w:val="0"/>
          <w:numId w:val="1004"/>
        </w:numPr>
      </w:pPr>
      <w:r>
        <w:t xml:space="preserve">Position Management</w:t>
      </w:r>
    </w:p>
    <w:p>
      <w:pPr>
        <w:pStyle w:val="Compact"/>
        <w:numPr>
          <w:ilvl w:val="0"/>
          <w:numId w:val="1004"/>
        </w:numPr>
      </w:pPr>
      <w:r>
        <w:t xml:space="preserve">Order Management</w:t>
      </w:r>
    </w:p>
    <w:p>
      <w:pPr>
        <w:pStyle w:val="Compact"/>
        <w:numPr>
          <w:ilvl w:val="0"/>
          <w:numId w:val="1004"/>
        </w:numPr>
      </w:pPr>
      <w:r>
        <w:t xml:space="preserve">Risk Overview</w:t>
      </w:r>
    </w:p>
    <w:p>
      <w:pPr>
        <w:pStyle w:val="Compact"/>
        <w:numPr>
          <w:ilvl w:val="0"/>
          <w:numId w:val="1004"/>
        </w:numPr>
      </w:pPr>
      <w:r>
        <w:t xml:space="preserve">Decision Center</w:t>
      </w:r>
    </w:p>
    <w:p>
      <w:pPr>
        <w:pStyle w:val="Compact"/>
        <w:numPr>
          <w:ilvl w:val="0"/>
          <w:numId w:val="1004"/>
        </w:numPr>
      </w:pPr>
      <w:r>
        <w:t xml:space="preserve">Notifications</w:t>
      </w:r>
    </w:p>
    <w:p>
      <w:pPr>
        <w:pStyle w:val="Compact"/>
        <w:numPr>
          <w:ilvl w:val="0"/>
          <w:numId w:val="1004"/>
        </w:numPr>
      </w:pPr>
      <w:r>
        <w:t xml:space="preserve">Workspace Management</w:t>
      </w:r>
    </w:p>
    <w:p>
      <w:pPr>
        <w:pStyle w:val="FirstParagraph"/>
      </w:pPr>
      <w:r>
        <w:t xml:space="preserve">These capabilities shall be integrated into a consistent desktop application.</w:t>
      </w:r>
    </w:p>
    <w:p>
      <w:r>
        <w:pict>
          <v:rect style="width:0;height:1.5pt" o:hralign="center" o:hrstd="t" o:hr="t"/>
        </w:pict>
      </w:r>
    </w:p>
    <w:bookmarkEnd w:id="15"/>
    <w:bookmarkStart w:id="16" w:name="trading-workflow-vision"/>
    <w:p>
      <w:pPr>
        <w:pStyle w:val="Heading1"/>
      </w:pPr>
      <w:r>
        <w:t xml:space="preserve">Trading Workflow Vision</w:t>
      </w:r>
    </w:p>
    <w:p>
      <w:pPr>
        <w:pStyle w:val="FirstParagraph"/>
      </w:pPr>
      <w:r>
        <w:t xml:space="preserve">The Trading Cockpit should support the following workflow:</w:t>
      </w:r>
    </w:p>
    <w:p>
      <w:pPr>
        <w:pStyle w:val="Compact"/>
        <w:numPr>
          <w:ilvl w:val="0"/>
          <w:numId w:val="1005"/>
        </w:numPr>
      </w:pPr>
      <w:r>
        <w:t xml:space="preserve">Observe the market.</w:t>
      </w:r>
    </w:p>
    <w:p>
      <w:pPr>
        <w:pStyle w:val="Compact"/>
        <w:numPr>
          <w:ilvl w:val="0"/>
          <w:numId w:val="1005"/>
        </w:numPr>
      </w:pPr>
      <w:r>
        <w:t xml:space="preserve">Identify relevant instruments.</w:t>
      </w:r>
    </w:p>
    <w:p>
      <w:pPr>
        <w:pStyle w:val="Compact"/>
        <w:numPr>
          <w:ilvl w:val="0"/>
          <w:numId w:val="1005"/>
        </w:numPr>
      </w:pPr>
      <w:r>
        <w:t xml:space="preserve">Evaluate market and portfolio context.</w:t>
      </w:r>
    </w:p>
    <w:p>
      <w:pPr>
        <w:pStyle w:val="Compact"/>
        <w:numPr>
          <w:ilvl w:val="0"/>
          <w:numId w:val="1005"/>
        </w:numPr>
      </w:pPr>
      <w:r>
        <w:t xml:space="preserve">Analyze a trading opportunity.</w:t>
      </w:r>
    </w:p>
    <w:p>
      <w:pPr>
        <w:pStyle w:val="Compact"/>
        <w:numPr>
          <w:ilvl w:val="0"/>
          <w:numId w:val="1005"/>
        </w:numPr>
      </w:pPr>
      <w:r>
        <w:t xml:space="preserve">Make a trading decision.</w:t>
      </w:r>
    </w:p>
    <w:p>
      <w:pPr>
        <w:pStyle w:val="Compact"/>
        <w:numPr>
          <w:ilvl w:val="0"/>
          <w:numId w:val="1005"/>
        </w:numPr>
      </w:pPr>
      <w:r>
        <w:t xml:space="preserve">Prepare and execute an order.</w:t>
      </w:r>
    </w:p>
    <w:p>
      <w:pPr>
        <w:pStyle w:val="Compact"/>
        <w:numPr>
          <w:ilvl w:val="0"/>
          <w:numId w:val="1005"/>
        </w:numPr>
      </w:pPr>
      <w:r>
        <w:t xml:space="preserve">Monitor the position and associated risk.</w:t>
      </w:r>
    </w:p>
    <w:p>
      <w:pPr>
        <w:pStyle w:val="Compact"/>
        <w:numPr>
          <w:ilvl w:val="0"/>
          <w:numId w:val="1005"/>
        </w:numPr>
      </w:pPr>
      <w:r>
        <w:t xml:space="preserve">Review the trading outcome.</w:t>
      </w:r>
    </w:p>
    <w:p>
      <w:pPr>
        <w:pStyle w:val="FirstParagraph"/>
      </w:pPr>
      <w:r>
        <w:t xml:space="preserve">The user should remain within the Trading Cockpit throughout this workflow whenever practical.</w:t>
      </w:r>
    </w:p>
    <w:p>
      <w:r>
        <w:pict>
          <v:rect style="width:0;height:1.5pt" o:hralign="center" o:hrstd="t" o:hr="t"/>
        </w:pict>
      </w:r>
    </w:p>
    <w:bookmarkEnd w:id="16"/>
    <w:bookmarkStart w:id="17" w:name="workspace-vision"/>
    <w:p>
      <w:pPr>
        <w:pStyle w:val="Heading1"/>
      </w:pPr>
      <w:r>
        <w:t xml:space="preserve">Workspace Vision</w:t>
      </w:r>
    </w:p>
    <w:p>
      <w:pPr>
        <w:pStyle w:val="FirstParagraph"/>
      </w:pPr>
      <w:r>
        <w:t xml:space="preserve">The Trading Cockpit shall provide configurable workspaces.</w:t>
      </w:r>
    </w:p>
    <w:p>
      <w:pPr>
        <w:pStyle w:val="BodyText"/>
      </w:pPr>
      <w:r>
        <w:t xml:space="preserve">Users should be able to:</w:t>
      </w:r>
    </w:p>
    <w:p>
      <w:pPr>
        <w:pStyle w:val="Compact"/>
        <w:numPr>
          <w:ilvl w:val="0"/>
          <w:numId w:val="1006"/>
        </w:numPr>
      </w:pPr>
      <w:r>
        <w:t xml:space="preserve">arrange widgets</w:t>
      </w:r>
    </w:p>
    <w:p>
      <w:pPr>
        <w:pStyle w:val="Compact"/>
        <w:numPr>
          <w:ilvl w:val="0"/>
          <w:numId w:val="1006"/>
        </w:numPr>
      </w:pPr>
      <w:r>
        <w:t xml:space="preserve">dock and resize panels</w:t>
      </w:r>
    </w:p>
    <w:p>
      <w:pPr>
        <w:pStyle w:val="Compact"/>
        <w:numPr>
          <w:ilvl w:val="0"/>
          <w:numId w:val="1006"/>
        </w:numPr>
      </w:pPr>
      <w:r>
        <w:t xml:space="preserve">open multiple views</w:t>
      </w:r>
    </w:p>
    <w:p>
      <w:pPr>
        <w:pStyle w:val="Compact"/>
        <w:numPr>
          <w:ilvl w:val="0"/>
          <w:numId w:val="1006"/>
        </w:numPr>
      </w:pPr>
      <w:r>
        <w:t xml:space="preserve">preserve workspace state</w:t>
      </w:r>
    </w:p>
    <w:p>
      <w:pPr>
        <w:pStyle w:val="Compact"/>
        <w:numPr>
          <w:ilvl w:val="0"/>
          <w:numId w:val="1006"/>
        </w:numPr>
      </w:pPr>
      <w:r>
        <w:t xml:space="preserve">switch between trading workflows</w:t>
      </w:r>
    </w:p>
    <w:p>
      <w:pPr>
        <w:pStyle w:val="Compact"/>
        <w:numPr>
          <w:ilvl w:val="0"/>
          <w:numId w:val="1006"/>
        </w:numPr>
      </w:pPr>
      <w:r>
        <w:t xml:space="preserve">restore the previous working context</w:t>
      </w:r>
    </w:p>
    <w:p>
      <w:pPr>
        <w:pStyle w:val="FirstParagraph"/>
      </w:pPr>
      <w:r>
        <w:t xml:space="preserve">The workspace is a core product capability, not only a UI feature.</w:t>
      </w:r>
    </w:p>
    <w:p>
      <w:r>
        <w:pict>
          <v:rect style="width:0;height:1.5pt" o:hralign="center" o:hrstd="t" o:hr="t"/>
        </w:pict>
      </w:r>
    </w:p>
    <w:bookmarkEnd w:id="17"/>
    <w:bookmarkStart w:id="18" w:name="decision-support-vision"/>
    <w:p>
      <w:pPr>
        <w:pStyle w:val="Heading1"/>
      </w:pPr>
      <w:r>
        <w:t xml:space="preserve">Decision Support Vision</w:t>
      </w:r>
    </w:p>
    <w:p>
      <w:pPr>
        <w:pStyle w:val="FirstParagraph"/>
      </w:pPr>
      <w:r>
        <w:t xml:space="preserve">Trading Platform Pro shall support informed trading decisions.</w:t>
      </w:r>
    </w:p>
    <w:p>
      <w:pPr>
        <w:pStyle w:val="BodyText"/>
      </w:pPr>
      <w:r>
        <w:t xml:space="preserve">Decision support may combine:</w:t>
      </w:r>
    </w:p>
    <w:p>
      <w:pPr>
        <w:pStyle w:val="Compact"/>
        <w:numPr>
          <w:ilvl w:val="0"/>
          <w:numId w:val="1007"/>
        </w:numPr>
      </w:pPr>
      <w:r>
        <w:t xml:space="preserve">market data</w:t>
      </w:r>
    </w:p>
    <w:p>
      <w:pPr>
        <w:pStyle w:val="Compact"/>
        <w:numPr>
          <w:ilvl w:val="0"/>
          <w:numId w:val="1007"/>
        </w:numPr>
      </w:pPr>
      <w:r>
        <w:t xml:space="preserve">watchlists</w:t>
      </w:r>
    </w:p>
    <w:p>
      <w:pPr>
        <w:pStyle w:val="Compact"/>
        <w:numPr>
          <w:ilvl w:val="0"/>
          <w:numId w:val="1007"/>
        </w:numPr>
      </w:pPr>
      <w:r>
        <w:t xml:space="preserve">scanner results</w:t>
      </w:r>
    </w:p>
    <w:p>
      <w:pPr>
        <w:pStyle w:val="Compact"/>
        <w:numPr>
          <w:ilvl w:val="0"/>
          <w:numId w:val="1007"/>
        </w:numPr>
      </w:pPr>
      <w:r>
        <w:t xml:space="preserve">portfolio context</w:t>
      </w:r>
    </w:p>
    <w:p>
      <w:pPr>
        <w:pStyle w:val="Compact"/>
        <w:numPr>
          <w:ilvl w:val="0"/>
          <w:numId w:val="1007"/>
        </w:numPr>
      </w:pPr>
      <w:r>
        <w:t xml:space="preserve">risk information</w:t>
      </w:r>
    </w:p>
    <w:p>
      <w:pPr>
        <w:pStyle w:val="Compact"/>
        <w:numPr>
          <w:ilvl w:val="0"/>
          <w:numId w:val="1007"/>
        </w:numPr>
      </w:pPr>
      <w:r>
        <w:t xml:space="preserve">trading signals</w:t>
      </w:r>
    </w:p>
    <w:p>
      <w:pPr>
        <w:pStyle w:val="Compact"/>
        <w:numPr>
          <w:ilvl w:val="0"/>
          <w:numId w:val="1007"/>
        </w:numPr>
      </w:pPr>
      <w:r>
        <w:t xml:space="preserve">strategy evaluations</w:t>
      </w:r>
    </w:p>
    <w:p>
      <w:pPr>
        <w:pStyle w:val="Compact"/>
        <w:numPr>
          <w:ilvl w:val="0"/>
          <w:numId w:val="1007"/>
        </w:numPr>
      </w:pPr>
      <w:r>
        <w:t xml:space="preserve">historical information</w:t>
      </w:r>
    </w:p>
    <w:p>
      <w:pPr>
        <w:pStyle w:val="FirstParagraph"/>
      </w:pPr>
      <w:r>
        <w:t xml:space="preserve">Future AI-assisted capabilities may provide additional insights.</w:t>
      </w:r>
    </w:p>
    <w:p>
      <w:pPr>
        <w:pStyle w:val="BodyText"/>
      </w:pPr>
      <w:r>
        <w:t xml:space="preserve">The platform shall support the trader’s decision process and shall not hide decision-relevant information.</w:t>
      </w:r>
    </w:p>
    <w:p>
      <w:r>
        <w:pict>
          <v:rect style="width:0;height:1.5pt" o:hralign="center" o:hrstd="t" o:hr="t"/>
        </w:pict>
      </w:r>
    </w:p>
    <w:bookmarkEnd w:id="18"/>
    <w:bookmarkStart w:id="19" w:name="product-principles"/>
    <w:p>
      <w:pPr>
        <w:pStyle w:val="Heading1"/>
      </w:pPr>
      <w:r>
        <w:t xml:space="preserve">Product Principles</w:t>
      </w:r>
    </w:p>
    <w:p>
      <w:pPr>
        <w:pStyle w:val="FirstParagraph"/>
      </w:pPr>
      <w:r>
        <w:t xml:space="preserve">Every product capability shall:</w:t>
      </w:r>
    </w:p>
    <w:p>
      <w:pPr>
        <w:pStyle w:val="Compact"/>
        <w:numPr>
          <w:ilvl w:val="0"/>
          <w:numId w:val="1008"/>
        </w:numPr>
      </w:pPr>
      <w:r>
        <w:t xml:space="preserve">solve a real trading workflow problem</w:t>
      </w:r>
    </w:p>
    <w:p>
      <w:pPr>
        <w:pStyle w:val="Compact"/>
        <w:numPr>
          <w:ilvl w:val="0"/>
          <w:numId w:val="1008"/>
        </w:numPr>
      </w:pPr>
      <w:r>
        <w:t xml:space="preserve">integrate naturally into the Trading Cockpit</w:t>
      </w:r>
    </w:p>
    <w:p>
      <w:pPr>
        <w:pStyle w:val="Compact"/>
        <w:numPr>
          <w:ilvl w:val="0"/>
          <w:numId w:val="1008"/>
        </w:numPr>
      </w:pPr>
      <w:r>
        <w:t xml:space="preserve">provide clear user value</w:t>
      </w:r>
    </w:p>
    <w:p>
      <w:pPr>
        <w:pStyle w:val="Compact"/>
        <w:numPr>
          <w:ilvl w:val="0"/>
          <w:numId w:val="1008"/>
        </w:numPr>
      </w:pPr>
      <w:r>
        <w:t xml:space="preserve">preserve user context</w:t>
      </w:r>
    </w:p>
    <w:p>
      <w:pPr>
        <w:pStyle w:val="Compact"/>
        <w:numPr>
          <w:ilvl w:val="0"/>
          <w:numId w:val="1008"/>
        </w:numPr>
      </w:pPr>
      <w:r>
        <w:t xml:space="preserve">remain transparent</w:t>
      </w:r>
    </w:p>
    <w:p>
      <w:pPr>
        <w:pStyle w:val="Compact"/>
        <w:numPr>
          <w:ilvl w:val="0"/>
          <w:numId w:val="1008"/>
        </w:numPr>
      </w:pPr>
      <w:r>
        <w:t xml:space="preserve">behave predictably</w:t>
      </w:r>
    </w:p>
    <w:p>
      <w:pPr>
        <w:pStyle w:val="Compact"/>
        <w:numPr>
          <w:ilvl w:val="0"/>
          <w:numId w:val="1008"/>
        </w:numPr>
      </w:pPr>
      <w:r>
        <w:t xml:space="preserve">remain testable</w:t>
      </w:r>
    </w:p>
    <w:p>
      <w:pPr>
        <w:pStyle w:val="Compact"/>
        <w:numPr>
          <w:ilvl w:val="0"/>
          <w:numId w:val="1008"/>
        </w:numPr>
      </w:pPr>
      <w:r>
        <w:t xml:space="preserve">remain maintainable</w:t>
      </w:r>
    </w:p>
    <w:p>
      <w:pPr>
        <w:pStyle w:val="Compact"/>
        <w:numPr>
          <w:ilvl w:val="0"/>
          <w:numId w:val="1008"/>
        </w:numPr>
      </w:pPr>
      <w:r>
        <w:t xml:space="preserve">be documented</w:t>
      </w:r>
    </w:p>
    <w:p>
      <w:pPr>
        <w:pStyle w:val="FirstParagraph"/>
      </w:pPr>
      <w:r>
        <w:t xml:space="preserve">Avoid isolated features that do not contribute to a coherent trading workflow.</w:t>
      </w:r>
    </w:p>
    <w:p>
      <w:r>
        <w:pict>
          <v:rect style="width:0;height:1.5pt" o:hralign="center" o:hrstd="t" o:hr="t"/>
        </w:pict>
      </w:r>
    </w:p>
    <w:bookmarkEnd w:id="19"/>
    <w:bookmarkStart w:id="20" w:name="core-values"/>
    <w:p>
      <w:pPr>
        <w:pStyle w:val="Heading1"/>
      </w:pPr>
      <w:r>
        <w:t xml:space="preserve">Core Values</w:t>
      </w:r>
    </w:p>
    <w:p>
      <w:pPr>
        <w:pStyle w:val="FirstParagraph"/>
      </w:pPr>
      <w:r>
        <w:t xml:space="preserve">The product is guided by:</w:t>
      </w:r>
    </w:p>
    <w:p>
      <w:pPr>
        <w:pStyle w:val="Compact"/>
        <w:numPr>
          <w:ilvl w:val="0"/>
          <w:numId w:val="1009"/>
        </w:numPr>
      </w:pPr>
      <w:r>
        <w:t xml:space="preserve">Simplicity</w:t>
      </w:r>
    </w:p>
    <w:p>
      <w:pPr>
        <w:pStyle w:val="Compact"/>
        <w:numPr>
          <w:ilvl w:val="0"/>
          <w:numId w:val="1009"/>
        </w:numPr>
      </w:pPr>
      <w:r>
        <w:t xml:space="preserve">Reliability</w:t>
      </w:r>
    </w:p>
    <w:p>
      <w:pPr>
        <w:pStyle w:val="Compact"/>
        <w:numPr>
          <w:ilvl w:val="0"/>
          <w:numId w:val="1009"/>
        </w:numPr>
      </w:pPr>
      <w:r>
        <w:t xml:space="preserve">Transparency</w:t>
      </w:r>
    </w:p>
    <w:p>
      <w:pPr>
        <w:pStyle w:val="Compact"/>
        <w:numPr>
          <w:ilvl w:val="0"/>
          <w:numId w:val="1009"/>
        </w:numPr>
      </w:pPr>
      <w:r>
        <w:t xml:space="preserve">Clarity</w:t>
      </w:r>
    </w:p>
    <w:p>
      <w:pPr>
        <w:pStyle w:val="Compact"/>
        <w:numPr>
          <w:ilvl w:val="0"/>
          <w:numId w:val="1009"/>
        </w:numPr>
      </w:pPr>
      <w:r>
        <w:t xml:space="preserve">Maintainability</w:t>
      </w:r>
    </w:p>
    <w:p>
      <w:pPr>
        <w:pStyle w:val="Compact"/>
        <w:numPr>
          <w:ilvl w:val="0"/>
          <w:numId w:val="1009"/>
        </w:numPr>
      </w:pPr>
      <w:r>
        <w:t xml:space="preserve">Extensibility</w:t>
      </w:r>
    </w:p>
    <w:p>
      <w:pPr>
        <w:pStyle w:val="Compact"/>
        <w:numPr>
          <w:ilvl w:val="0"/>
          <w:numId w:val="1009"/>
        </w:numPr>
      </w:pPr>
      <w:r>
        <w:t xml:space="preserve">Performance</w:t>
      </w:r>
    </w:p>
    <w:p>
      <w:pPr>
        <w:pStyle w:val="Compact"/>
        <w:numPr>
          <w:ilvl w:val="0"/>
          <w:numId w:val="1009"/>
        </w:numPr>
      </w:pPr>
      <w:r>
        <w:t xml:space="preserve">Quality</w:t>
      </w:r>
    </w:p>
    <w:p>
      <w:r>
        <w:pict>
          <v:rect style="width:0;height:1.5pt" o:hralign="center" o:hrstd="t" o:hr="t"/>
        </w:pict>
      </w:r>
    </w:p>
    <w:bookmarkEnd w:id="20"/>
    <w:bookmarkStart w:id="21" w:name="non-functional-vision"/>
    <w:p>
      <w:pPr>
        <w:pStyle w:val="Heading1"/>
      </w:pPr>
      <w:r>
        <w:t xml:space="preserve">Non-Functional Vision</w:t>
      </w:r>
    </w:p>
    <w:p>
      <w:pPr>
        <w:pStyle w:val="FirstParagraph"/>
      </w:pPr>
      <w:r>
        <w:t xml:space="preserve">The Trading Cockpit shall provide:</w:t>
      </w:r>
    </w:p>
    <w:p>
      <w:pPr>
        <w:pStyle w:val="Compact"/>
        <w:numPr>
          <w:ilvl w:val="0"/>
          <w:numId w:val="1010"/>
        </w:numPr>
      </w:pPr>
      <w:r>
        <w:t xml:space="preserve">responsive desktop interaction</w:t>
      </w:r>
    </w:p>
    <w:p>
      <w:pPr>
        <w:pStyle w:val="Compact"/>
        <w:numPr>
          <w:ilvl w:val="0"/>
          <w:numId w:val="1010"/>
        </w:numPr>
      </w:pPr>
      <w:r>
        <w:t xml:space="preserve">deterministic runtime behaviour</w:t>
      </w:r>
    </w:p>
    <w:p>
      <w:pPr>
        <w:pStyle w:val="Compact"/>
        <w:numPr>
          <w:ilvl w:val="0"/>
          <w:numId w:val="1010"/>
        </w:numPr>
      </w:pPr>
      <w:r>
        <w:t xml:space="preserve">reliable state management</w:t>
      </w:r>
    </w:p>
    <w:p>
      <w:pPr>
        <w:pStyle w:val="Compact"/>
        <w:numPr>
          <w:ilvl w:val="0"/>
          <w:numId w:val="1010"/>
        </w:numPr>
      </w:pPr>
      <w:r>
        <w:t xml:space="preserve">comprehensive observability</w:t>
      </w:r>
    </w:p>
    <w:p>
      <w:pPr>
        <w:pStyle w:val="Compact"/>
        <w:numPr>
          <w:ilvl w:val="0"/>
          <w:numId w:val="1010"/>
        </w:numPr>
      </w:pPr>
      <w:r>
        <w:t xml:space="preserve">controlled error handling</w:t>
      </w:r>
    </w:p>
    <w:p>
      <w:pPr>
        <w:pStyle w:val="Compact"/>
        <w:numPr>
          <w:ilvl w:val="0"/>
          <w:numId w:val="1010"/>
        </w:numPr>
      </w:pPr>
      <w:r>
        <w:t xml:space="preserve">secure configuration</w:t>
      </w:r>
    </w:p>
    <w:p>
      <w:pPr>
        <w:pStyle w:val="Compact"/>
        <w:numPr>
          <w:ilvl w:val="0"/>
          <w:numId w:val="1010"/>
        </w:numPr>
      </w:pPr>
      <w:r>
        <w:t xml:space="preserve">automated testing</w:t>
      </w:r>
    </w:p>
    <w:p>
      <w:pPr>
        <w:pStyle w:val="Compact"/>
        <w:numPr>
          <w:ilvl w:val="0"/>
          <w:numId w:val="1010"/>
        </w:numPr>
      </w:pPr>
      <w:r>
        <w:t xml:space="preserve">maintainable architecture</w:t>
      </w:r>
    </w:p>
    <w:p>
      <w:pPr>
        <w:pStyle w:val="Compact"/>
        <w:numPr>
          <w:ilvl w:val="0"/>
          <w:numId w:val="1010"/>
        </w:numPr>
      </w:pPr>
      <w:r>
        <w:t xml:space="preserve">comprehensive documentation</w:t>
      </w:r>
    </w:p>
    <w:p>
      <w:pPr>
        <w:pStyle w:val="FirstParagraph"/>
      </w:pPr>
      <w:r>
        <w:t xml:space="preserve">Operational reliability is a product requirement.</w:t>
      </w:r>
    </w:p>
    <w:p>
      <w:r>
        <w:pict>
          <v:rect style="width:0;height:1.5pt" o:hralign="center" o:hrstd="t" o:hr="t"/>
        </w:pict>
      </w:r>
    </w:p>
    <w:bookmarkEnd w:id="21"/>
    <w:bookmarkStart w:id="22" w:name="initial-product-boundaries"/>
    <w:p>
      <w:pPr>
        <w:pStyle w:val="Heading1"/>
      </w:pPr>
      <w:r>
        <w:t xml:space="preserve">Initial Product Boundaries</w:t>
      </w:r>
    </w:p>
    <w:p>
      <w:pPr>
        <w:pStyle w:val="FirstParagraph"/>
      </w:pPr>
      <w:r>
        <w:t xml:space="preserve">The initial Trading Cockpit does not aim to provide:</w:t>
      </w:r>
    </w:p>
    <w:p>
      <w:pPr>
        <w:pStyle w:val="Compact"/>
        <w:numPr>
          <w:ilvl w:val="0"/>
          <w:numId w:val="1011"/>
        </w:numPr>
      </w:pPr>
      <w:r>
        <w:t xml:space="preserve">a public social trading network</w:t>
      </w:r>
    </w:p>
    <w:p>
      <w:pPr>
        <w:pStyle w:val="Compact"/>
        <w:numPr>
          <w:ilvl w:val="0"/>
          <w:numId w:val="1011"/>
        </w:numPr>
      </w:pPr>
      <w:r>
        <w:t xml:space="preserve">a broker replacement</w:t>
      </w:r>
    </w:p>
    <w:p>
      <w:pPr>
        <w:pStyle w:val="Compact"/>
        <w:numPr>
          <w:ilvl w:val="0"/>
          <w:numId w:val="1011"/>
        </w:numPr>
      </w:pPr>
      <w:r>
        <w:t xml:space="preserve">autonomous AI trading</w:t>
      </w:r>
    </w:p>
    <w:p>
      <w:pPr>
        <w:pStyle w:val="Compact"/>
        <w:numPr>
          <w:ilvl w:val="0"/>
          <w:numId w:val="1011"/>
        </w:numPr>
      </w:pPr>
      <w:r>
        <w:t xml:space="preserve">cloud-first multi-user operation</w:t>
      </w:r>
    </w:p>
    <w:p>
      <w:pPr>
        <w:pStyle w:val="Compact"/>
        <w:numPr>
          <w:ilvl w:val="0"/>
          <w:numId w:val="1011"/>
        </w:numPr>
      </w:pPr>
      <w:r>
        <w:t xml:space="preserve">high-frequency trading infrastructure</w:t>
      </w:r>
    </w:p>
    <w:p>
      <w:pPr>
        <w:pStyle w:val="Compact"/>
        <w:numPr>
          <w:ilvl w:val="0"/>
          <w:numId w:val="1011"/>
        </w:numPr>
      </w:pPr>
      <w:r>
        <w:t xml:space="preserve">a general-purpose financial terminal</w:t>
      </w:r>
    </w:p>
    <w:p>
      <w:pPr>
        <w:pStyle w:val="FirstParagraph"/>
      </w:pPr>
      <w:r>
        <w:t xml:space="preserve">These capabilities may only be reconsidered through explicit product and architectural decisions.</w:t>
      </w:r>
    </w:p>
    <w:p>
      <w:r>
        <w:pict>
          <v:rect style="width:0;height:1.5pt" o:hralign="center" o:hrstd="t" o:hr="t"/>
        </w:pict>
      </w:r>
    </w:p>
    <w:bookmarkEnd w:id="22"/>
    <w:bookmarkStart w:id="23" w:name="success-criteria"/>
    <w:p>
      <w:pPr>
        <w:pStyle w:val="Heading1"/>
      </w:pPr>
      <w:r>
        <w:t xml:space="preserve">Success Criteria</w:t>
      </w:r>
    </w:p>
    <w:p>
      <w:pPr>
        <w:pStyle w:val="FirstParagraph"/>
      </w:pPr>
      <w:r>
        <w:t xml:space="preserve">The Trading Cockpit is successful when users can:</w:t>
      </w:r>
    </w:p>
    <w:p>
      <w:pPr>
        <w:pStyle w:val="Compact"/>
        <w:numPr>
          <w:ilvl w:val="0"/>
          <w:numId w:val="1012"/>
        </w:numPr>
      </w:pPr>
      <w:r>
        <w:t xml:space="preserve">configure and restore their trading workspace</w:t>
      </w:r>
    </w:p>
    <w:p>
      <w:pPr>
        <w:pStyle w:val="Compact"/>
        <w:numPr>
          <w:ilvl w:val="0"/>
          <w:numId w:val="1012"/>
        </w:numPr>
      </w:pPr>
      <w:r>
        <w:t xml:space="preserve">monitor relevant market information</w:t>
      </w:r>
    </w:p>
    <w:p>
      <w:pPr>
        <w:pStyle w:val="Compact"/>
        <w:numPr>
          <w:ilvl w:val="0"/>
          <w:numId w:val="1012"/>
        </w:numPr>
      </w:pPr>
      <w:r>
        <w:t xml:space="preserve">manage watchlists and trading candidates</w:t>
      </w:r>
    </w:p>
    <w:p>
      <w:pPr>
        <w:pStyle w:val="Compact"/>
        <w:numPr>
          <w:ilvl w:val="0"/>
          <w:numId w:val="1012"/>
        </w:numPr>
      </w:pPr>
      <w:r>
        <w:t xml:space="preserve">evaluate opportunities with sufficient context</w:t>
      </w:r>
    </w:p>
    <w:p>
      <w:pPr>
        <w:pStyle w:val="Compact"/>
        <w:numPr>
          <w:ilvl w:val="0"/>
          <w:numId w:val="1012"/>
        </w:numPr>
      </w:pPr>
      <w:r>
        <w:t xml:space="preserve">view portfolio and risk information</w:t>
      </w:r>
    </w:p>
    <w:p>
      <w:pPr>
        <w:pStyle w:val="Compact"/>
        <w:numPr>
          <w:ilvl w:val="0"/>
          <w:numId w:val="1012"/>
        </w:numPr>
      </w:pPr>
      <w:r>
        <w:t xml:space="preserve">manage orders and positions</w:t>
      </w:r>
    </w:p>
    <w:p>
      <w:pPr>
        <w:pStyle w:val="Compact"/>
        <w:numPr>
          <w:ilvl w:val="0"/>
          <w:numId w:val="1012"/>
        </w:numPr>
      </w:pPr>
      <w:r>
        <w:t xml:space="preserve">receive clear operational feedback</w:t>
      </w:r>
    </w:p>
    <w:p>
      <w:pPr>
        <w:pStyle w:val="Compact"/>
        <w:numPr>
          <w:ilvl w:val="0"/>
          <w:numId w:val="1012"/>
        </w:numPr>
      </w:pPr>
      <w:r>
        <w:t xml:space="preserve">complete core trading workflows without unnecessary tool switching</w:t>
      </w:r>
    </w:p>
    <w:p>
      <w:pPr>
        <w:pStyle w:val="FirstParagraph"/>
      </w:pPr>
      <w:r>
        <w:t xml:space="preserve">Technical success additionally requires:</w:t>
      </w:r>
    </w:p>
    <w:p>
      <w:pPr>
        <w:pStyle w:val="Compact"/>
        <w:numPr>
          <w:ilvl w:val="0"/>
          <w:numId w:val="1013"/>
        </w:numPr>
      </w:pPr>
      <w:r>
        <w:t xml:space="preserve">stable releases</w:t>
      </w:r>
    </w:p>
    <w:p>
      <w:pPr>
        <w:pStyle w:val="Compact"/>
        <w:numPr>
          <w:ilvl w:val="0"/>
          <w:numId w:val="1013"/>
        </w:numPr>
      </w:pPr>
      <w:r>
        <w:t xml:space="preserve">deterministic behaviour</w:t>
      </w:r>
    </w:p>
    <w:p>
      <w:pPr>
        <w:pStyle w:val="Compact"/>
        <w:numPr>
          <w:ilvl w:val="0"/>
          <w:numId w:val="1013"/>
        </w:numPr>
      </w:pPr>
      <w:r>
        <w:t xml:space="preserve">maintainable architecture</w:t>
      </w:r>
    </w:p>
    <w:p>
      <w:pPr>
        <w:pStyle w:val="Compact"/>
        <w:numPr>
          <w:ilvl w:val="0"/>
          <w:numId w:val="1013"/>
        </w:numPr>
      </w:pPr>
      <w:r>
        <w:t xml:space="preserve">automated quality assurance</w:t>
      </w:r>
    </w:p>
    <w:p>
      <w:pPr>
        <w:pStyle w:val="Compact"/>
        <w:numPr>
          <w:ilvl w:val="0"/>
          <w:numId w:val="1013"/>
        </w:numPr>
      </w:pPr>
      <w:r>
        <w:t xml:space="preserve">synchronized documentation</w:t>
      </w:r>
    </w:p>
    <w:p>
      <w:r>
        <w:pict>
          <v:rect style="width:0;height:1.5pt" o:hralign="center" o:hrstd="t" o:hr="t"/>
        </w:pict>
      </w:r>
    </w:p>
    <w:bookmarkEnd w:id="23"/>
    <w:bookmarkStart w:id="24" w:name="future-platform-evolution"/>
    <w:p>
      <w:pPr>
        <w:pStyle w:val="Heading1"/>
      </w:pPr>
      <w:r>
        <w:t xml:space="preserve">Future Platform Evolution</w:t>
      </w:r>
    </w:p>
    <w:p>
      <w:pPr>
        <w:pStyle w:val="FirstParagraph"/>
      </w:pPr>
      <w:r>
        <w:t xml:space="preserve">After the Trading Cockpit is established, the platform may evolve with:</w:t>
      </w:r>
    </w:p>
    <w:p>
      <w:pPr>
        <w:pStyle w:val="Compact"/>
        <w:numPr>
          <w:ilvl w:val="0"/>
          <w:numId w:val="1014"/>
        </w:numPr>
      </w:pPr>
      <w:r>
        <w:t xml:space="preserve">Portfolio Manager</w:t>
      </w:r>
    </w:p>
    <w:p>
      <w:pPr>
        <w:pStyle w:val="Compact"/>
        <w:numPr>
          <w:ilvl w:val="0"/>
          <w:numId w:val="1014"/>
        </w:numPr>
      </w:pPr>
      <w:r>
        <w:t xml:space="preserve">Market Scanner services</w:t>
      </w:r>
    </w:p>
    <w:p>
      <w:pPr>
        <w:pStyle w:val="Compact"/>
        <w:numPr>
          <w:ilvl w:val="0"/>
          <w:numId w:val="1014"/>
        </w:numPr>
      </w:pPr>
      <w:r>
        <w:t xml:space="preserve">Strategy Lab</w:t>
      </w:r>
    </w:p>
    <w:p>
      <w:pPr>
        <w:pStyle w:val="Compact"/>
        <w:numPr>
          <w:ilvl w:val="0"/>
          <w:numId w:val="1014"/>
        </w:numPr>
      </w:pPr>
      <w:r>
        <w:t xml:space="preserve">Backtesting</w:t>
      </w:r>
    </w:p>
    <w:p>
      <w:pPr>
        <w:pStyle w:val="Compact"/>
        <w:numPr>
          <w:ilvl w:val="0"/>
          <w:numId w:val="1014"/>
        </w:numPr>
      </w:pPr>
      <w:r>
        <w:t xml:space="preserve">Advanced Analytics</w:t>
      </w:r>
    </w:p>
    <w:p>
      <w:pPr>
        <w:pStyle w:val="Compact"/>
        <w:numPr>
          <w:ilvl w:val="0"/>
          <w:numId w:val="1014"/>
        </w:numPr>
      </w:pPr>
      <w:r>
        <w:t xml:space="preserve">Reporting Services</w:t>
      </w:r>
    </w:p>
    <w:p>
      <w:pPr>
        <w:pStyle w:val="Compact"/>
        <w:numPr>
          <w:ilvl w:val="0"/>
          <w:numId w:val="1014"/>
        </w:numPr>
      </w:pPr>
      <w:r>
        <w:t xml:space="preserve">Plugin Ecosystem</w:t>
      </w:r>
    </w:p>
    <w:p>
      <w:pPr>
        <w:pStyle w:val="Compact"/>
        <w:numPr>
          <w:ilvl w:val="0"/>
          <w:numId w:val="1014"/>
        </w:numPr>
      </w:pPr>
      <w:r>
        <w:t xml:space="preserve">AI-assisted Decision Support</w:t>
      </w:r>
    </w:p>
    <w:p>
      <w:pPr>
        <w:pStyle w:val="Compact"/>
        <w:numPr>
          <w:ilvl w:val="0"/>
          <w:numId w:val="1014"/>
        </w:numPr>
      </w:pPr>
      <w:r>
        <w:t xml:space="preserve">Multi-Broker Integration</w:t>
      </w:r>
    </w:p>
    <w:p>
      <w:pPr>
        <w:pStyle w:val="FirstParagraph"/>
      </w:pPr>
      <w:r>
        <w:t xml:space="preserve">Future applications shall reuse the shared Trading Platform Pro architecture and platform services.</w:t>
      </w:r>
    </w:p>
    <w:p>
      <w:r>
        <w:pict>
          <v:rect style="width:0;height:1.5pt" o:hralign="center" o:hrstd="t" o:hr="t"/>
        </w:pict>
      </w:r>
    </w:p>
    <w:bookmarkEnd w:id="24"/>
    <w:bookmarkStart w:id="25" w:name="product-evolution-principles"/>
    <w:p>
      <w:pPr>
        <w:pStyle w:val="Heading1"/>
      </w:pPr>
      <w:r>
        <w:t xml:space="preserve">Product Evolution Principles</w:t>
      </w:r>
    </w:p>
    <w:p>
      <w:pPr>
        <w:pStyle w:val="FirstParagraph"/>
      </w:pPr>
      <w:r>
        <w:t xml:space="preserve">Every product enhancement shall:</w:t>
      </w:r>
    </w:p>
    <w:p>
      <w:pPr>
        <w:pStyle w:val="Compact"/>
        <w:numPr>
          <w:ilvl w:val="0"/>
          <w:numId w:val="1015"/>
        </w:numPr>
      </w:pPr>
      <w:r>
        <w:t xml:space="preserve">provide measurable user value</w:t>
      </w:r>
    </w:p>
    <w:p>
      <w:pPr>
        <w:pStyle w:val="Compact"/>
        <w:numPr>
          <w:ilvl w:val="0"/>
          <w:numId w:val="1015"/>
        </w:numPr>
      </w:pPr>
      <w:r>
        <w:t xml:space="preserve">support a defined trading workflow</w:t>
      </w:r>
    </w:p>
    <w:p>
      <w:pPr>
        <w:pStyle w:val="Compact"/>
        <w:numPr>
          <w:ilvl w:val="0"/>
          <w:numId w:val="1015"/>
        </w:numPr>
      </w:pPr>
      <w:r>
        <w:t xml:space="preserve">preserve architectural consistency</w:t>
      </w:r>
    </w:p>
    <w:p>
      <w:pPr>
        <w:pStyle w:val="Compact"/>
        <w:numPr>
          <w:ilvl w:val="0"/>
          <w:numId w:val="1015"/>
        </w:numPr>
      </w:pPr>
      <w:r>
        <w:t xml:space="preserve">integrate into the existing user experience</w:t>
      </w:r>
    </w:p>
    <w:p>
      <w:pPr>
        <w:pStyle w:val="Compact"/>
        <w:numPr>
          <w:ilvl w:val="0"/>
          <w:numId w:val="1015"/>
        </w:numPr>
      </w:pPr>
      <w:r>
        <w:t xml:space="preserve">remain maintainable</w:t>
      </w:r>
    </w:p>
    <w:p>
      <w:pPr>
        <w:pStyle w:val="Compact"/>
        <w:numPr>
          <w:ilvl w:val="0"/>
          <w:numId w:val="1015"/>
        </w:numPr>
      </w:pPr>
      <w:r>
        <w:t xml:space="preserve">be fully documented</w:t>
      </w:r>
    </w:p>
    <w:p>
      <w:r>
        <w:pict>
          <v:rect style="width:0;height:1.5pt" o:hralign="center" o:hrstd="t" o:hr="t"/>
        </w:pict>
      </w:r>
    </w:p>
    <w:bookmarkEnd w:id="25"/>
    <w:bookmarkStart w:id="26" w:name="product-review-checklist"/>
    <w:p>
      <w:pPr>
        <w:pStyle w:val="Heading1"/>
      </w:pPr>
      <w:r>
        <w:t xml:space="preserve">Product Review Checklist</w:t>
      </w:r>
    </w:p>
    <w:p>
      <w:pPr>
        <w:pStyle w:val="FirstParagraph"/>
      </w:pPr>
      <w:r>
        <w:t xml:space="preserve">Before releasing new functionality verify:</w:t>
      </w:r>
    </w:p>
    <w:p>
      <w:pPr>
        <w:pStyle w:val="Compact"/>
        <w:numPr>
          <w:ilvl w:val="0"/>
          <w:numId w:val="1016"/>
        </w:numPr>
      </w:pPr>
      <w:r>
        <w:t xml:space="preserve">user problem is clearly defined</w:t>
      </w:r>
    </w:p>
    <w:p>
      <w:pPr>
        <w:pStyle w:val="Compact"/>
        <w:numPr>
          <w:ilvl w:val="0"/>
          <w:numId w:val="1016"/>
        </w:numPr>
      </w:pPr>
      <w:r>
        <w:t xml:space="preserve">target workflow is identified</w:t>
      </w:r>
    </w:p>
    <w:p>
      <w:pPr>
        <w:pStyle w:val="Compact"/>
        <w:numPr>
          <w:ilvl w:val="0"/>
          <w:numId w:val="1016"/>
        </w:numPr>
      </w:pPr>
      <w:r>
        <w:t xml:space="preserve">user value is clear</w:t>
      </w:r>
    </w:p>
    <w:p>
      <w:pPr>
        <w:pStyle w:val="Compact"/>
        <w:numPr>
          <w:ilvl w:val="0"/>
          <w:numId w:val="1016"/>
        </w:numPr>
      </w:pPr>
      <w:r>
        <w:t xml:space="preserve">product scope is respected</w:t>
      </w:r>
    </w:p>
    <w:p>
      <w:pPr>
        <w:pStyle w:val="Compact"/>
        <w:numPr>
          <w:ilvl w:val="0"/>
          <w:numId w:val="1016"/>
        </w:numPr>
      </w:pPr>
      <w:r>
        <w:t xml:space="preserve">Trading Cockpit integration is defined</w:t>
      </w:r>
    </w:p>
    <w:p>
      <w:pPr>
        <w:pStyle w:val="Compact"/>
        <w:numPr>
          <w:ilvl w:val="0"/>
          <w:numId w:val="1016"/>
        </w:numPr>
      </w:pPr>
      <w:r>
        <w:t xml:space="preserve">architecture is preserved</w:t>
      </w:r>
    </w:p>
    <w:p>
      <w:pPr>
        <w:pStyle w:val="Compact"/>
        <w:numPr>
          <w:ilvl w:val="0"/>
          <w:numId w:val="1016"/>
        </w:numPr>
      </w:pPr>
      <w:r>
        <w:t xml:space="preserve">documentation is updated</w:t>
      </w:r>
    </w:p>
    <w:p>
      <w:pPr>
        <w:pStyle w:val="Compact"/>
        <w:numPr>
          <w:ilvl w:val="0"/>
          <w:numId w:val="1016"/>
        </w:numPr>
      </w:pPr>
      <w:r>
        <w:t xml:space="preserve">quality standards are satisfied</w:t>
      </w:r>
    </w:p>
    <w:p>
      <w:r>
        <w:pict>
          <v:rect style="width:0;height:1.5pt" o:hralign="center" o:hrstd="t" o:hr="t"/>
        </w:pict>
      </w:r>
    </w:p>
    <w:bookmarkEnd w:id="26"/>
    <w:bookmarkStart w:id="27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7"/>
        </w:numPr>
      </w:pPr>
      <w:r>
        <w:t xml:space="preserve">Project_Overview.md</w:t>
      </w:r>
    </w:p>
    <w:p>
      <w:pPr>
        <w:pStyle w:val="Compact"/>
        <w:numPr>
          <w:ilvl w:val="0"/>
          <w:numId w:val="1017"/>
        </w:numPr>
      </w:pPr>
      <w:r>
        <w:t xml:space="preserve">Product_Roadmap.md</w:t>
      </w:r>
    </w:p>
    <w:p>
      <w:pPr>
        <w:pStyle w:val="Compact"/>
        <w:numPr>
          <w:ilvl w:val="0"/>
          <w:numId w:val="1017"/>
        </w:numPr>
      </w:pPr>
      <w:r>
        <w:t xml:space="preserve">Architecture.md</w:t>
      </w:r>
    </w:p>
    <w:p>
      <w:pPr>
        <w:pStyle w:val="Compact"/>
        <w:numPr>
          <w:ilvl w:val="0"/>
          <w:numId w:val="1017"/>
        </w:numPr>
      </w:pPr>
      <w:r>
        <w:t xml:space="preserve">Widget_Catalog.md</w:t>
      </w:r>
    </w:p>
    <w:p>
      <w:pPr>
        <w:pStyle w:val="Compact"/>
        <w:numPr>
          <w:ilvl w:val="0"/>
          <w:numId w:val="1017"/>
        </w:numPr>
      </w:pPr>
      <w:r>
        <w:t xml:space="preserve">UI_Guidelines.md</w:t>
      </w:r>
    </w:p>
    <w:p>
      <w:pPr>
        <w:pStyle w:val="Compact"/>
        <w:numPr>
          <w:ilvl w:val="0"/>
          <w:numId w:val="1017"/>
        </w:numPr>
      </w:pPr>
      <w:r>
        <w:t xml:space="preserve">AGENTS.md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2026-07-06T08:18:54Z</dcterms:created>
  <dcterms:modified xsi:type="dcterms:W3CDTF">2026-07-06T08:18:54Z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