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echnical-specifications"/>
    <w:p>
      <w:pPr>
        <w:pStyle w:val="Heading1"/>
      </w:pPr>
      <w:r>
        <w:t xml:space="preserve">Technical Specifications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technical specifications and implementation constraints of Trading Platform Pro and its primary application, the Trading Cockpit.</w:t>
      </w:r>
    </w:p>
    <w:p>
      <w:pPr>
        <w:pStyle w:val="BodyText"/>
      </w:pPr>
      <w:r>
        <w:t xml:space="preserve">The specifications translate the Product Vision and Product Roadmap into technical requirements.</w:t>
      </w:r>
    </w:p>
    <w:p>
      <w:pPr>
        <w:pStyle w:val="BodyText"/>
      </w:pPr>
      <w:r>
        <w:t xml:space="preserve">Technical capabilities shall support concrete Trading Cockpit workflows and shall not be generalized prematurely without an identified product requirement.</w:t>
      </w:r>
    </w:p>
    <w:p>
      <w:r>
        <w:pict>
          <v:rect style="width:0;height:1.5pt" o:hralign="center" o:hrstd="t" o:hr="t"/>
        </w:pict>
      </w:r>
    </w:p>
    <w:bookmarkEnd w:id="10"/>
    <w:bookmarkStart w:id="11" w:name="primary-application"/>
    <w:p>
      <w:pPr>
        <w:pStyle w:val="Heading1"/>
      </w:pPr>
      <w:r>
        <w:t xml:space="preserve">Primary Application</w:t>
      </w:r>
    </w:p>
    <w:p>
      <w:pPr>
        <w:pStyle w:val="FirstParagraph"/>
      </w:pPr>
      <w:r>
        <w:t xml:space="preserve">The primary application is the Trading Cockpit.</w:t>
      </w:r>
    </w:p>
    <w:p>
      <w:pPr>
        <w:pStyle w:val="BodyText"/>
      </w:pPr>
      <w:r>
        <w:t xml:space="preserve">The Trading Cockpit is a professional desktop application for:</w:t>
      </w:r>
    </w:p>
    <w:p>
      <w:pPr>
        <w:pStyle w:val="Compact"/>
        <w:numPr>
          <w:ilvl w:val="0"/>
          <w:numId w:val="1001"/>
        </w:numPr>
      </w:pPr>
      <w:r>
        <w:t xml:space="preserve">market observation</w:t>
      </w:r>
    </w:p>
    <w:p>
      <w:pPr>
        <w:pStyle w:val="Compact"/>
        <w:numPr>
          <w:ilvl w:val="0"/>
          <w:numId w:val="1001"/>
        </w:numPr>
      </w:pPr>
      <w:r>
        <w:t xml:space="preserve">instrument selection</w:t>
      </w:r>
    </w:p>
    <w:p>
      <w:pPr>
        <w:pStyle w:val="Compact"/>
        <w:numPr>
          <w:ilvl w:val="0"/>
          <w:numId w:val="1001"/>
        </w:numPr>
      </w:pPr>
      <w:r>
        <w:t xml:space="preserve">trading candidate evaluation</w:t>
      </w:r>
    </w:p>
    <w:p>
      <w:pPr>
        <w:pStyle w:val="Compact"/>
        <w:numPr>
          <w:ilvl w:val="0"/>
          <w:numId w:val="1001"/>
        </w:numPr>
      </w:pPr>
      <w:r>
        <w:t xml:space="preserve">portfolio context</w:t>
      </w:r>
    </w:p>
    <w:p>
      <w:pPr>
        <w:pStyle w:val="Compact"/>
        <w:numPr>
          <w:ilvl w:val="0"/>
          <w:numId w:val="1001"/>
        </w:numPr>
      </w:pPr>
      <w:r>
        <w:t xml:space="preserve">risk context</w:t>
      </w:r>
    </w:p>
    <w:p>
      <w:pPr>
        <w:pStyle w:val="Compact"/>
        <w:numPr>
          <w:ilvl w:val="0"/>
          <w:numId w:val="1001"/>
        </w:numPr>
      </w:pPr>
      <w:r>
        <w:t xml:space="preserve">decision support</w:t>
      </w:r>
    </w:p>
    <w:p>
      <w:pPr>
        <w:pStyle w:val="Compact"/>
        <w:numPr>
          <w:ilvl w:val="0"/>
          <w:numId w:val="1001"/>
        </w:numPr>
      </w:pPr>
      <w:r>
        <w:t xml:space="preserve">order preparation and execution</w:t>
      </w:r>
    </w:p>
    <w:p>
      <w:pPr>
        <w:pStyle w:val="Compact"/>
        <w:numPr>
          <w:ilvl w:val="0"/>
          <w:numId w:val="1001"/>
        </w:numPr>
      </w:pPr>
      <w:r>
        <w:t xml:space="preserve">position monitoring</w:t>
      </w:r>
    </w:p>
    <w:p>
      <w:pPr>
        <w:pStyle w:val="Compact"/>
        <w:numPr>
          <w:ilvl w:val="0"/>
          <w:numId w:val="1001"/>
        </w:numPr>
      </w:pPr>
      <w:r>
        <w:t xml:space="preserve">trading review</w:t>
      </w:r>
    </w:p>
    <w:p>
      <w:pPr>
        <w:pStyle w:val="FirstParagraph"/>
      </w:pPr>
      <w:r>
        <w:t xml:space="preserve">The application shall support incremental vertical product slices.</w:t>
      </w:r>
    </w:p>
    <w:p>
      <w:r>
        <w:pict>
          <v:rect style="width:0;height:1.5pt" o:hralign="center" o:hrstd="t" o:hr="t"/>
        </w:pict>
      </w:r>
    </w:p>
    <w:bookmarkEnd w:id="11"/>
    <w:bookmarkStart w:id="12" w:name="technology-stack"/>
    <w:p>
      <w:pPr>
        <w:pStyle w:val="Heading1"/>
      </w:pPr>
      <w:r>
        <w:t xml:space="preserve">Technology Stack</w:t>
      </w:r>
    </w:p>
    <w:p>
      <w:pPr>
        <w:pStyle w:val="FirstParagraph"/>
      </w:pPr>
      <w:r>
        <w:t xml:space="preserve">Primary technologies:</w:t>
      </w:r>
    </w:p>
    <w:p>
      <w:pPr>
        <w:pStyle w:val="Compact"/>
        <w:numPr>
          <w:ilvl w:val="0"/>
          <w:numId w:val="1002"/>
        </w:numPr>
      </w:pPr>
      <w:r>
        <w:t xml:space="preserve">Python 3.13</w:t>
      </w:r>
    </w:p>
    <w:p>
      <w:pPr>
        <w:pStyle w:val="Compact"/>
        <w:numPr>
          <w:ilvl w:val="0"/>
          <w:numId w:val="1002"/>
        </w:numPr>
      </w:pPr>
      <w:r>
        <w:t xml:space="preserve">PySide6</w:t>
      </w:r>
    </w:p>
    <w:p>
      <w:pPr>
        <w:pStyle w:val="Compact"/>
        <w:numPr>
          <w:ilvl w:val="0"/>
          <w:numId w:val="1002"/>
        </w:numPr>
      </w:pPr>
      <w:r>
        <w:t xml:space="preserve">SQLite</w:t>
      </w:r>
    </w:p>
    <w:p>
      <w:pPr>
        <w:pStyle w:val="Compact"/>
        <w:numPr>
          <w:ilvl w:val="0"/>
          <w:numId w:val="1002"/>
        </w:numPr>
      </w:pPr>
      <w:r>
        <w:t xml:space="preserve">SQLAlchemy</w:t>
      </w:r>
    </w:p>
    <w:p>
      <w:pPr>
        <w:pStyle w:val="Compact"/>
        <w:numPr>
          <w:ilvl w:val="0"/>
          <w:numId w:val="1002"/>
        </w:numPr>
      </w:pPr>
      <w:r>
        <w:t xml:space="preserve">Dependency Injector</w:t>
      </w:r>
    </w:p>
    <w:p>
      <w:pPr>
        <w:pStyle w:val="Compact"/>
        <w:numPr>
          <w:ilvl w:val="0"/>
          <w:numId w:val="1002"/>
        </w:numPr>
      </w:pPr>
      <w:r>
        <w:t xml:space="preserve">AsyncIO</w:t>
      </w:r>
    </w:p>
    <w:p>
      <w:pPr>
        <w:pStyle w:val="Compact"/>
        <w:numPr>
          <w:ilvl w:val="0"/>
          <w:numId w:val="1002"/>
        </w:numPr>
      </w:pPr>
      <w:r>
        <w:t xml:space="preserve">Pytest</w:t>
      </w:r>
    </w:p>
    <w:p>
      <w:pPr>
        <w:pStyle w:val="Compact"/>
        <w:numPr>
          <w:ilvl w:val="0"/>
          <w:numId w:val="1002"/>
        </w:numPr>
      </w:pPr>
      <w:r>
        <w:t xml:space="preserve">Ruff</w:t>
      </w:r>
    </w:p>
    <w:p>
      <w:pPr>
        <w:pStyle w:val="Compact"/>
        <w:numPr>
          <w:ilvl w:val="0"/>
          <w:numId w:val="1002"/>
        </w:numPr>
      </w:pPr>
      <w:r>
        <w:t xml:space="preserve">GitHub Actions</w:t>
      </w:r>
    </w:p>
    <w:p>
      <w:pPr>
        <w:pStyle w:val="Compact"/>
        <w:numPr>
          <w:ilvl w:val="0"/>
          <w:numId w:val="1002"/>
        </w:numPr>
      </w:pPr>
      <w:r>
        <w:t xml:space="preserve">Pandoc</w:t>
      </w:r>
    </w:p>
    <w:p>
      <w:pPr>
        <w:pStyle w:val="FirstParagraph"/>
      </w:pPr>
      <w:r>
        <w:t xml:space="preserve">Technology changes require explicit technical evaluation and documentation where they affect architecture or product capabilities.</w:t>
      </w:r>
    </w:p>
    <w:p>
      <w:r>
        <w:pict>
          <v:rect style="width:0;height:1.5pt" o:hralign="center" o:hrstd="t" o:hr="t"/>
        </w:pict>
      </w:r>
    </w:p>
    <w:bookmarkEnd w:id="12"/>
    <w:bookmarkStart w:id="13" w:name="target-platforms"/>
    <w:p>
      <w:pPr>
        <w:pStyle w:val="Heading1"/>
      </w:pPr>
      <w:r>
        <w:t xml:space="preserve">Target Platforms</w:t>
      </w:r>
    </w:p>
    <w:p>
      <w:pPr>
        <w:pStyle w:val="FirstParagraph"/>
      </w:pPr>
      <w:r>
        <w:t xml:space="preserve">Primary platform:</w:t>
      </w:r>
    </w:p>
    <w:p>
      <w:pPr>
        <w:pStyle w:val="Compact"/>
        <w:numPr>
          <w:ilvl w:val="0"/>
          <w:numId w:val="1003"/>
        </w:numPr>
      </w:pPr>
      <w:r>
        <w:t xml:space="preserve">Windows</w:t>
      </w:r>
    </w:p>
    <w:p>
      <w:pPr>
        <w:pStyle w:val="FirstParagraph"/>
      </w:pPr>
      <w:r>
        <w:t xml:space="preserve">Future platforms:</w:t>
      </w:r>
    </w:p>
    <w:p>
      <w:pPr>
        <w:pStyle w:val="Compact"/>
        <w:numPr>
          <w:ilvl w:val="0"/>
          <w:numId w:val="1004"/>
        </w:numPr>
      </w:pPr>
      <w:r>
        <w:t xml:space="preserve">Linux</w:t>
      </w:r>
    </w:p>
    <w:p>
      <w:pPr>
        <w:pStyle w:val="Compact"/>
        <w:numPr>
          <w:ilvl w:val="0"/>
          <w:numId w:val="1004"/>
        </w:numPr>
      </w:pPr>
      <w:r>
        <w:t xml:space="preserve">macOS</w:t>
      </w:r>
    </w:p>
    <w:p>
      <w:pPr>
        <w:pStyle w:val="FirstParagraph"/>
      </w:pPr>
      <w:r>
        <w:t xml:space="preserve">Windows is the reference platform for the initial Trading Cockpit.</w:t>
      </w:r>
    </w:p>
    <w:p>
      <w:pPr>
        <w:pStyle w:val="BodyText"/>
      </w:pPr>
      <w:r>
        <w:t xml:space="preserve">Platform-specific behaviour shall be isolated where practical.</w:t>
      </w:r>
    </w:p>
    <w:p>
      <w:r>
        <w:pict>
          <v:rect style="width:0;height:1.5pt" o:hralign="center" o:hrstd="t" o:hr="t"/>
        </w:pict>
      </w:r>
    </w:p>
    <w:bookmarkEnd w:id="13"/>
    <w:bookmarkStart w:id="14" w:name="application-architecture"/>
    <w:p>
      <w:pPr>
        <w:pStyle w:val="Heading1"/>
      </w:pPr>
      <w:r>
        <w:t xml:space="preserve">Application Architecture</w:t>
      </w:r>
    </w:p>
    <w:p>
      <w:pPr>
        <w:pStyle w:val="FirstParagraph"/>
      </w:pPr>
      <w:r>
        <w:t xml:space="preserve">The application follows:</w:t>
      </w:r>
    </w:p>
    <w:p>
      <w:pPr>
        <w:pStyle w:val="Compact"/>
        <w:numPr>
          <w:ilvl w:val="0"/>
          <w:numId w:val="1005"/>
        </w:numPr>
      </w:pPr>
      <w:r>
        <w:t xml:space="preserve">Clean Architecture</w:t>
      </w:r>
    </w:p>
    <w:p>
      <w:pPr>
        <w:pStyle w:val="Compact"/>
        <w:numPr>
          <w:ilvl w:val="0"/>
          <w:numId w:val="1005"/>
        </w:numPr>
      </w:pPr>
      <w:r>
        <w:t xml:space="preserve">Domain-Driven Design</w:t>
      </w:r>
    </w:p>
    <w:p>
      <w:pPr>
        <w:pStyle w:val="Compact"/>
        <w:numPr>
          <w:ilvl w:val="0"/>
          <w:numId w:val="1005"/>
        </w:numPr>
      </w:pPr>
      <w:r>
        <w:t xml:space="preserve">Event-Driven Architecture</w:t>
      </w:r>
    </w:p>
    <w:p>
      <w:pPr>
        <w:pStyle w:val="Compact"/>
        <w:numPr>
          <w:ilvl w:val="0"/>
          <w:numId w:val="1005"/>
        </w:numPr>
      </w:pPr>
      <w:r>
        <w:t xml:space="preserve">Modular Monolith</w:t>
      </w:r>
    </w:p>
    <w:p>
      <w:pPr>
        <w:pStyle w:val="Compact"/>
        <w:numPr>
          <w:ilvl w:val="0"/>
          <w:numId w:val="1005"/>
        </w:numPr>
      </w:pPr>
      <w:r>
        <w:t xml:space="preserve">Dependency Injection</w:t>
      </w:r>
    </w:p>
    <w:p>
      <w:pPr>
        <w:pStyle w:val="Compact"/>
        <w:numPr>
          <w:ilvl w:val="0"/>
          <w:numId w:val="1005"/>
        </w:numPr>
      </w:pPr>
      <w:r>
        <w:t xml:space="preserve">Explicit Dependencies</w:t>
      </w:r>
    </w:p>
    <w:p>
      <w:pPr>
        <w:pStyle w:val="FirstParagraph"/>
      </w:pPr>
      <w:r>
        <w:t xml:space="preserve">Primary layers:</w:t>
      </w:r>
    </w:p>
    <w:p>
      <w:pPr>
        <w:pStyle w:val="Compact"/>
        <w:numPr>
          <w:ilvl w:val="0"/>
          <w:numId w:val="1006"/>
        </w:numPr>
      </w:pPr>
      <w:r>
        <w:t xml:space="preserve">Domain</w:t>
      </w:r>
    </w:p>
    <w:p>
      <w:pPr>
        <w:pStyle w:val="Compact"/>
        <w:numPr>
          <w:ilvl w:val="0"/>
          <w:numId w:val="1006"/>
        </w:numPr>
      </w:pPr>
      <w:r>
        <w:t xml:space="preserve">Application</w:t>
      </w:r>
    </w:p>
    <w:p>
      <w:pPr>
        <w:pStyle w:val="Compact"/>
        <w:numPr>
          <w:ilvl w:val="0"/>
          <w:numId w:val="1006"/>
        </w:numPr>
      </w:pPr>
      <w:r>
        <w:t xml:space="preserve">Infrastructure</w:t>
      </w:r>
    </w:p>
    <w:p>
      <w:pPr>
        <w:pStyle w:val="Compact"/>
        <w:numPr>
          <w:ilvl w:val="0"/>
          <w:numId w:val="1006"/>
        </w:numPr>
      </w:pPr>
      <w:r>
        <w:t xml:space="preserve">Presentation</w:t>
      </w:r>
    </w:p>
    <w:p>
      <w:pPr>
        <w:pStyle w:val="FirstParagraph"/>
      </w:pPr>
      <w:r>
        <w:t xml:space="preserve">Dependency direction shall always point toward the Domain.</w:t>
      </w:r>
    </w:p>
    <w:p>
      <w:pPr>
        <w:pStyle w:val="BodyText"/>
      </w:pPr>
      <w:r>
        <w:t xml:space="preserve">Presentation shall not contain business rules.</w:t>
      </w:r>
    </w:p>
    <w:p>
      <w:pPr>
        <w:pStyle w:val="BodyText"/>
      </w:pPr>
      <w:r>
        <w:t xml:space="preserve">Infrastructure shall not make trading decisions.</w:t>
      </w:r>
    </w:p>
    <w:p>
      <w:r>
        <w:pict>
          <v:rect style="width:0;height:1.5pt" o:hralign="center" o:hrstd="t" o:hr="t"/>
        </w:pict>
      </w:r>
    </w:p>
    <w:bookmarkEnd w:id="14"/>
    <w:bookmarkStart w:id="15" w:name="desktop-application"/>
    <w:p>
      <w:pPr>
        <w:pStyle w:val="Heading1"/>
      </w:pPr>
      <w:r>
        <w:t xml:space="preserve">Desktop Application</w:t>
      </w:r>
    </w:p>
    <w:p>
      <w:pPr>
        <w:pStyle w:val="FirstParagraph"/>
      </w:pPr>
      <w:r>
        <w:t xml:space="preserve">The Trading Cockpit shall be implemented as a desktop application using PySide6.</w:t>
      </w:r>
    </w:p>
    <w:p>
      <w:pPr>
        <w:pStyle w:val="BodyText"/>
      </w:pPr>
      <w:r>
        <w:t xml:space="preserve">The desktop application shall provide:</w:t>
      </w:r>
    </w:p>
    <w:p>
      <w:pPr>
        <w:pStyle w:val="Compact"/>
        <w:numPr>
          <w:ilvl w:val="0"/>
          <w:numId w:val="1007"/>
        </w:numPr>
      </w:pPr>
      <w:r>
        <w:t xml:space="preserve">deterministic startup</w:t>
      </w:r>
    </w:p>
    <w:p>
      <w:pPr>
        <w:pStyle w:val="Compact"/>
        <w:numPr>
          <w:ilvl w:val="0"/>
          <w:numId w:val="1007"/>
        </w:numPr>
      </w:pPr>
      <w:r>
        <w:t xml:space="preserve">deterministic shutdown</w:t>
      </w:r>
    </w:p>
    <w:p>
      <w:pPr>
        <w:pStyle w:val="Compact"/>
        <w:numPr>
          <w:ilvl w:val="0"/>
          <w:numId w:val="1007"/>
        </w:numPr>
      </w:pPr>
      <w:r>
        <w:t xml:space="preserve">responsive user interaction</w:t>
      </w:r>
    </w:p>
    <w:p>
      <w:pPr>
        <w:pStyle w:val="Compact"/>
        <w:numPr>
          <w:ilvl w:val="0"/>
          <w:numId w:val="1007"/>
        </w:numPr>
      </w:pPr>
      <w:r>
        <w:t xml:space="preserve">centralized runtime lifecycle</w:t>
      </w:r>
    </w:p>
    <w:p>
      <w:pPr>
        <w:pStyle w:val="Compact"/>
        <w:numPr>
          <w:ilvl w:val="0"/>
          <w:numId w:val="1007"/>
        </w:numPr>
      </w:pPr>
      <w:r>
        <w:t xml:space="preserve">configurable workspaces</w:t>
      </w:r>
    </w:p>
    <w:p>
      <w:pPr>
        <w:pStyle w:val="Compact"/>
        <w:numPr>
          <w:ilvl w:val="0"/>
          <w:numId w:val="1007"/>
        </w:numPr>
      </w:pPr>
      <w:r>
        <w:t xml:space="preserve">dockable widgets</w:t>
      </w:r>
    </w:p>
    <w:p>
      <w:pPr>
        <w:pStyle w:val="Compact"/>
        <w:numPr>
          <w:ilvl w:val="0"/>
          <w:numId w:val="1007"/>
        </w:numPr>
      </w:pPr>
      <w:r>
        <w:t xml:space="preserve">persistent workspace state</w:t>
      </w:r>
    </w:p>
    <w:p>
      <w:pPr>
        <w:pStyle w:val="Compact"/>
        <w:numPr>
          <w:ilvl w:val="0"/>
          <w:numId w:val="1007"/>
        </w:numPr>
      </w:pPr>
      <w:r>
        <w:t xml:space="preserve">visible operational state</w:t>
      </w:r>
    </w:p>
    <w:p>
      <w:pPr>
        <w:pStyle w:val="FirstParagraph"/>
      </w:pPr>
      <w:r>
        <w:t xml:space="preserve">Long-running or blocking operations shall not execute on the UI thread.</w:t>
      </w:r>
    </w:p>
    <w:p>
      <w:r>
        <w:pict>
          <v:rect style="width:0;height:1.5pt" o:hralign="center" o:hrstd="t" o:hr="t"/>
        </w:pict>
      </w:r>
    </w:p>
    <w:bookmarkEnd w:id="15"/>
    <w:bookmarkStart w:id="16" w:name="workspace-architecture"/>
    <w:p>
      <w:pPr>
        <w:pStyle w:val="Heading1"/>
      </w:pPr>
      <w:r>
        <w:t xml:space="preserve">Workspace Architecture</w:t>
      </w:r>
    </w:p>
    <w:p>
      <w:pPr>
        <w:pStyle w:val="FirstParagraph"/>
      </w:pPr>
      <w:r>
        <w:t xml:space="preserve">The workspace is a core product capability.</w:t>
      </w:r>
    </w:p>
    <w:p>
      <w:pPr>
        <w:pStyle w:val="BodyText"/>
      </w:pPr>
      <w:r>
        <w:t xml:space="preserve">The workspace shall support:</w:t>
      </w:r>
    </w:p>
    <w:p>
      <w:pPr>
        <w:pStyle w:val="Compact"/>
        <w:numPr>
          <w:ilvl w:val="0"/>
          <w:numId w:val="1008"/>
        </w:numPr>
      </w:pPr>
      <w:r>
        <w:t xml:space="preserve">dockable widgets</w:t>
      </w:r>
    </w:p>
    <w:p>
      <w:pPr>
        <w:pStyle w:val="Compact"/>
        <w:numPr>
          <w:ilvl w:val="0"/>
          <w:numId w:val="1008"/>
        </w:numPr>
      </w:pPr>
      <w:r>
        <w:t xml:space="preserve">resizable widgets</w:t>
      </w:r>
    </w:p>
    <w:p>
      <w:pPr>
        <w:pStyle w:val="Compact"/>
        <w:numPr>
          <w:ilvl w:val="0"/>
          <w:numId w:val="1008"/>
        </w:numPr>
      </w:pPr>
      <w:r>
        <w:t xml:space="preserve">multiple widget instances where appropriate</w:t>
      </w:r>
    </w:p>
    <w:p>
      <w:pPr>
        <w:pStyle w:val="Compact"/>
        <w:numPr>
          <w:ilvl w:val="0"/>
          <w:numId w:val="1008"/>
        </w:numPr>
      </w:pPr>
      <w:r>
        <w:t xml:space="preserve">persistent layout state</w:t>
      </w:r>
    </w:p>
    <w:p>
      <w:pPr>
        <w:pStyle w:val="Compact"/>
        <w:numPr>
          <w:ilvl w:val="0"/>
          <w:numId w:val="1008"/>
        </w:numPr>
      </w:pPr>
      <w:r>
        <w:t xml:space="preserve">workspace restoration</w:t>
      </w:r>
    </w:p>
    <w:p>
      <w:pPr>
        <w:pStyle w:val="Compact"/>
        <w:numPr>
          <w:ilvl w:val="0"/>
          <w:numId w:val="1008"/>
        </w:numPr>
      </w:pPr>
      <w:r>
        <w:t xml:space="preserve">instrument context sharing</w:t>
      </w:r>
    </w:p>
    <w:p>
      <w:pPr>
        <w:pStyle w:val="Compact"/>
        <w:numPr>
          <w:ilvl w:val="0"/>
          <w:numId w:val="1008"/>
        </w:numPr>
      </w:pPr>
      <w:r>
        <w:t xml:space="preserve">user workflow preservation</w:t>
      </w:r>
    </w:p>
    <w:p>
      <w:pPr>
        <w:pStyle w:val="FirstParagraph"/>
      </w:pPr>
      <w:r>
        <w:t xml:space="preserve">Workspace state shall be stored independently from business data.</w:t>
      </w:r>
    </w:p>
    <w:p>
      <w:pPr>
        <w:pStyle w:val="BodyText"/>
      </w:pPr>
      <w:r>
        <w:t xml:space="preserve">Invalid workspace state shall not prevent application startup.</w:t>
      </w:r>
    </w:p>
    <w:p>
      <w:r>
        <w:pict>
          <v:rect style="width:0;height:1.5pt" o:hralign="center" o:hrstd="t" o:hr="t"/>
        </w:pict>
      </w:r>
    </w:p>
    <w:bookmarkEnd w:id="16"/>
    <w:bookmarkStart w:id="17" w:name="widget-architecture"/>
    <w:p>
      <w:pPr>
        <w:pStyle w:val="Heading1"/>
      </w:pPr>
      <w:r>
        <w:t xml:space="preserve">Widget Architecture</w:t>
      </w:r>
    </w:p>
    <w:p>
      <w:pPr>
        <w:pStyle w:val="FirstParagraph"/>
      </w:pPr>
      <w:r>
        <w:t xml:space="preserve">Widgets shall be reusable presentation components.</w:t>
      </w:r>
    </w:p>
    <w:p>
      <w:pPr>
        <w:pStyle w:val="BodyText"/>
      </w:pPr>
      <w:r>
        <w:t xml:space="preserve">Every widget shall:</w:t>
      </w:r>
    </w:p>
    <w:p>
      <w:pPr>
        <w:pStyle w:val="Compact"/>
        <w:numPr>
          <w:ilvl w:val="0"/>
          <w:numId w:val="1009"/>
        </w:numPr>
      </w:pPr>
      <w:r>
        <w:t xml:space="preserve">have a defined responsibility</w:t>
      </w:r>
    </w:p>
    <w:p>
      <w:pPr>
        <w:pStyle w:val="Compact"/>
        <w:numPr>
          <w:ilvl w:val="0"/>
          <w:numId w:val="1009"/>
        </w:numPr>
      </w:pPr>
      <w:r>
        <w:t xml:space="preserve">expose explicit dependencies</w:t>
      </w:r>
    </w:p>
    <w:p>
      <w:pPr>
        <w:pStyle w:val="Compact"/>
        <w:numPr>
          <w:ilvl w:val="0"/>
          <w:numId w:val="1009"/>
        </w:numPr>
      </w:pPr>
      <w:r>
        <w:t xml:space="preserve">remain independently testable where practical</w:t>
      </w:r>
    </w:p>
    <w:p>
      <w:pPr>
        <w:pStyle w:val="Compact"/>
        <w:numPr>
          <w:ilvl w:val="0"/>
          <w:numId w:val="1009"/>
        </w:numPr>
      </w:pPr>
      <w:r>
        <w:t xml:space="preserve">support application theming</w:t>
      </w:r>
    </w:p>
    <w:p>
      <w:pPr>
        <w:pStyle w:val="Compact"/>
        <w:numPr>
          <w:ilvl w:val="0"/>
          <w:numId w:val="1009"/>
        </w:numPr>
      </w:pPr>
      <w:r>
        <w:t xml:space="preserve">support workspace integration</w:t>
      </w:r>
    </w:p>
    <w:p>
      <w:pPr>
        <w:pStyle w:val="Compact"/>
        <w:numPr>
          <w:ilvl w:val="0"/>
          <w:numId w:val="1009"/>
        </w:numPr>
      </w:pPr>
      <w:r>
        <w:t xml:space="preserve">provide visible loading and error states</w:t>
      </w:r>
    </w:p>
    <w:p>
      <w:pPr>
        <w:pStyle w:val="Compact"/>
        <w:numPr>
          <w:ilvl w:val="0"/>
          <w:numId w:val="1009"/>
        </w:numPr>
      </w:pPr>
      <w:r>
        <w:t xml:space="preserve">avoid direct infrastructure access</w:t>
      </w:r>
    </w:p>
    <w:p>
      <w:pPr>
        <w:pStyle w:val="FirstParagraph"/>
      </w:pPr>
      <w:r>
        <w:t xml:space="preserve">Widgets shall interact with application services or presentation adapters.</w:t>
      </w:r>
    </w:p>
    <w:p>
      <w:pPr>
        <w:pStyle w:val="BodyText"/>
      </w:pPr>
      <w:r>
        <w:t xml:space="preserve">Widgets shall not contain domain business rules.</w:t>
      </w:r>
    </w:p>
    <w:p>
      <w:r>
        <w:pict>
          <v:rect style="width:0;height:1.5pt" o:hralign="center" o:hrstd="t" o:hr="t"/>
        </w:pict>
      </w:r>
    </w:p>
    <w:bookmarkEnd w:id="17"/>
    <w:bookmarkStart w:id="18" w:name="shared-instrument-context"/>
    <w:p>
      <w:pPr>
        <w:pStyle w:val="Heading1"/>
      </w:pPr>
      <w:r>
        <w:t xml:space="preserve">Shared Instrument Context</w:t>
      </w:r>
    </w:p>
    <w:p>
      <w:pPr>
        <w:pStyle w:val="FirstParagraph"/>
      </w:pPr>
      <w:r>
        <w:t xml:space="preserve">The Trading Cockpit shall support shared instrument context.</w:t>
      </w:r>
    </w:p>
    <w:p>
      <w:pPr>
        <w:pStyle w:val="BodyText"/>
      </w:pPr>
      <w:r>
        <w:t xml:space="preserve">Selecting an instrument in one compatible widget may update other context-aware widgets.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0"/>
        </w:numPr>
      </w:pPr>
      <w:r>
        <w:t xml:space="preserve">Watchlist → Chart</w:t>
      </w:r>
    </w:p>
    <w:p>
      <w:pPr>
        <w:pStyle w:val="Compact"/>
        <w:numPr>
          <w:ilvl w:val="0"/>
          <w:numId w:val="1010"/>
        </w:numPr>
      </w:pPr>
      <w:r>
        <w:t xml:space="preserve">Scanner → Chart</w:t>
      </w:r>
    </w:p>
    <w:p>
      <w:pPr>
        <w:pStyle w:val="Compact"/>
        <w:numPr>
          <w:ilvl w:val="0"/>
          <w:numId w:val="1010"/>
        </w:numPr>
      </w:pPr>
      <w:r>
        <w:t xml:space="preserve">Scanner → Decision Center</w:t>
      </w:r>
    </w:p>
    <w:p>
      <w:pPr>
        <w:pStyle w:val="Compact"/>
        <w:numPr>
          <w:ilvl w:val="0"/>
          <w:numId w:val="1010"/>
        </w:numPr>
      </w:pPr>
      <w:r>
        <w:t xml:space="preserve">Position Overview → Chart</w:t>
      </w:r>
    </w:p>
    <w:p>
      <w:pPr>
        <w:pStyle w:val="FirstParagraph"/>
      </w:pPr>
      <w:r>
        <w:t xml:space="preserve">Context propagation shall be explicit and observable.</w:t>
      </w:r>
    </w:p>
    <w:p>
      <w:pPr>
        <w:pStyle w:val="BodyText"/>
      </w:pPr>
      <w:r>
        <w:t xml:space="preserve">Widgets shall define whether they:</w:t>
      </w:r>
    </w:p>
    <w:p>
      <w:pPr>
        <w:pStyle w:val="Compact"/>
        <w:numPr>
          <w:ilvl w:val="0"/>
          <w:numId w:val="1011"/>
        </w:numPr>
      </w:pPr>
      <w:r>
        <w:t xml:space="preserve">follow shared context</w:t>
      </w:r>
    </w:p>
    <w:p>
      <w:pPr>
        <w:pStyle w:val="Compact"/>
        <w:numPr>
          <w:ilvl w:val="0"/>
          <w:numId w:val="1011"/>
        </w:numPr>
      </w:pPr>
      <w:r>
        <w:t xml:space="preserve">publish shared context</w:t>
      </w:r>
    </w:p>
    <w:p>
      <w:pPr>
        <w:pStyle w:val="Compact"/>
        <w:numPr>
          <w:ilvl w:val="0"/>
          <w:numId w:val="1011"/>
        </w:numPr>
      </w:pPr>
      <w:r>
        <w:t xml:space="preserve">remain context-independent</w:t>
      </w:r>
    </w:p>
    <w:p>
      <w:r>
        <w:pict>
          <v:rect style="width:0;height:1.5pt" o:hralign="center" o:hrstd="t" o:hr="t"/>
        </w:pict>
      </w:r>
    </w:p>
    <w:bookmarkEnd w:id="18"/>
    <w:bookmarkStart w:id="19" w:name="runtime-architecture"/>
    <w:p>
      <w:pPr>
        <w:pStyle w:val="Heading1"/>
      </w:pPr>
      <w:r>
        <w:t xml:space="preserve">Runtime Architecture</w:t>
      </w:r>
    </w:p>
    <w:p>
      <w:pPr>
        <w:pStyle w:val="FirstParagraph"/>
      </w:pPr>
      <w:r>
        <w:t xml:space="preserve">The runtime shall manage:</w:t>
      </w:r>
    </w:p>
    <w:p>
      <w:pPr>
        <w:pStyle w:val="Compact"/>
        <w:numPr>
          <w:ilvl w:val="0"/>
          <w:numId w:val="1012"/>
        </w:numPr>
      </w:pPr>
      <w:r>
        <w:t xml:space="preserve">configuration</w:t>
      </w:r>
    </w:p>
    <w:p>
      <w:pPr>
        <w:pStyle w:val="Compact"/>
        <w:numPr>
          <w:ilvl w:val="0"/>
          <w:numId w:val="1012"/>
        </w:numPr>
      </w:pPr>
      <w:r>
        <w:t xml:space="preserve">logging</w:t>
      </w:r>
    </w:p>
    <w:p>
      <w:pPr>
        <w:pStyle w:val="Compact"/>
        <w:numPr>
          <w:ilvl w:val="0"/>
          <w:numId w:val="1012"/>
        </w:numPr>
      </w:pPr>
      <w:r>
        <w:t xml:space="preserve">dependency injection</w:t>
      </w:r>
    </w:p>
    <w:p>
      <w:pPr>
        <w:pStyle w:val="Compact"/>
        <w:numPr>
          <w:ilvl w:val="0"/>
          <w:numId w:val="1012"/>
        </w:numPr>
      </w:pPr>
      <w:r>
        <w:t xml:space="preserve">infrastructure initialization</w:t>
      </w:r>
    </w:p>
    <w:p>
      <w:pPr>
        <w:pStyle w:val="Compact"/>
        <w:numPr>
          <w:ilvl w:val="0"/>
          <w:numId w:val="1012"/>
        </w:numPr>
      </w:pPr>
      <w:r>
        <w:t xml:space="preserve">application services</w:t>
      </w:r>
    </w:p>
    <w:p>
      <w:pPr>
        <w:pStyle w:val="Compact"/>
        <w:numPr>
          <w:ilvl w:val="0"/>
          <w:numId w:val="1012"/>
        </w:numPr>
      </w:pPr>
      <w:r>
        <w:t xml:space="preserve">background workers</w:t>
      </w:r>
    </w:p>
    <w:p>
      <w:pPr>
        <w:pStyle w:val="Compact"/>
        <w:numPr>
          <w:ilvl w:val="0"/>
          <w:numId w:val="1012"/>
        </w:numPr>
      </w:pPr>
      <w:r>
        <w:t xml:space="preserve">health monitoring</w:t>
      </w:r>
    </w:p>
    <w:p>
      <w:pPr>
        <w:pStyle w:val="Compact"/>
        <w:numPr>
          <w:ilvl w:val="0"/>
          <w:numId w:val="1012"/>
        </w:numPr>
      </w:pPr>
      <w:r>
        <w:t xml:space="preserve">controlled shutdown</w:t>
      </w:r>
    </w:p>
    <w:p>
      <w:pPr>
        <w:pStyle w:val="FirstParagraph"/>
      </w:pPr>
      <w:r>
        <w:t xml:space="preserve">Runtime lifecycle:</w:t>
      </w:r>
    </w:p>
    <w:p>
      <w:pPr>
        <w:pStyle w:val="Compact"/>
        <w:numPr>
          <w:ilvl w:val="0"/>
          <w:numId w:val="1013"/>
        </w:numPr>
      </w:pPr>
      <w:r>
        <w:t xml:space="preserve">Bootstrap</w:t>
      </w:r>
    </w:p>
    <w:p>
      <w:pPr>
        <w:pStyle w:val="Compact"/>
        <w:numPr>
          <w:ilvl w:val="0"/>
          <w:numId w:val="1013"/>
        </w:numPr>
      </w:pPr>
      <w:r>
        <w:t xml:space="preserve">Load configuration</w:t>
      </w:r>
    </w:p>
    <w:p>
      <w:pPr>
        <w:pStyle w:val="Compact"/>
        <w:numPr>
          <w:ilvl w:val="0"/>
          <w:numId w:val="1013"/>
        </w:numPr>
      </w:pPr>
      <w:r>
        <w:t xml:space="preserve">Initialize logging</w:t>
      </w:r>
    </w:p>
    <w:p>
      <w:pPr>
        <w:pStyle w:val="Compact"/>
        <w:numPr>
          <w:ilvl w:val="0"/>
          <w:numId w:val="1013"/>
        </w:numPr>
      </w:pPr>
      <w:r>
        <w:t xml:space="preserve">Build dependency container</w:t>
      </w:r>
    </w:p>
    <w:p>
      <w:pPr>
        <w:pStyle w:val="Compact"/>
        <w:numPr>
          <w:ilvl w:val="0"/>
          <w:numId w:val="1013"/>
        </w:numPr>
      </w:pPr>
      <w:r>
        <w:t xml:space="preserve">Initialize infrastructure</w:t>
      </w:r>
    </w:p>
    <w:p>
      <w:pPr>
        <w:pStyle w:val="Compact"/>
        <w:numPr>
          <w:ilvl w:val="0"/>
          <w:numId w:val="1013"/>
        </w:numPr>
      </w:pPr>
      <w:r>
        <w:t xml:space="preserve">Initialize application services</w:t>
      </w:r>
    </w:p>
    <w:p>
      <w:pPr>
        <w:pStyle w:val="Compact"/>
        <w:numPr>
          <w:ilvl w:val="0"/>
          <w:numId w:val="1013"/>
        </w:numPr>
      </w:pPr>
      <w:r>
        <w:t xml:space="preserve">Initialize presentation</w:t>
      </w:r>
    </w:p>
    <w:p>
      <w:pPr>
        <w:pStyle w:val="Compact"/>
        <w:numPr>
          <w:ilvl w:val="0"/>
          <w:numId w:val="1013"/>
        </w:numPr>
      </w:pPr>
      <w:r>
        <w:t xml:space="preserve">Enter operational state</w:t>
      </w:r>
    </w:p>
    <w:p>
      <w:pPr>
        <w:pStyle w:val="Compact"/>
        <w:numPr>
          <w:ilvl w:val="0"/>
          <w:numId w:val="1013"/>
        </w:numPr>
      </w:pPr>
      <w:r>
        <w:t xml:space="preserve">Controlled shutdown</w:t>
      </w:r>
    </w:p>
    <w:p>
      <w:pPr>
        <w:pStyle w:val="FirstParagraph"/>
      </w:pPr>
      <w:r>
        <w:t xml:space="preserve">Application logic shall not execute before initialization is complete.</w:t>
      </w:r>
    </w:p>
    <w:p>
      <w:r>
        <w:pict>
          <v:rect style="width:0;height:1.5pt" o:hralign="center" o:hrstd="t" o:hr="t"/>
        </w:pict>
      </w:r>
    </w:p>
    <w:bookmarkEnd w:id="19"/>
    <w:bookmarkStart w:id="20" w:name="asynchronous-processing"/>
    <w:p>
      <w:pPr>
        <w:pStyle w:val="Heading1"/>
      </w:pPr>
      <w:r>
        <w:t xml:space="preserve">Asynchronous Processing</w:t>
      </w:r>
    </w:p>
    <w:p>
      <w:pPr>
        <w:pStyle w:val="FirstParagraph"/>
      </w:pPr>
      <w:r>
        <w:t xml:space="preserve">AsyncIO shall be used where asynchronous execution is required.</w:t>
      </w:r>
    </w:p>
    <w:p>
      <w:pPr>
        <w:pStyle w:val="BodyText"/>
      </w:pPr>
      <w:r>
        <w:t xml:space="preserve">Typical asynchronous operations include:</w:t>
      </w:r>
    </w:p>
    <w:p>
      <w:pPr>
        <w:pStyle w:val="Compact"/>
        <w:numPr>
          <w:ilvl w:val="0"/>
          <w:numId w:val="1014"/>
        </w:numPr>
      </w:pPr>
      <w:r>
        <w:t xml:space="preserve">broker communication</w:t>
      </w:r>
    </w:p>
    <w:p>
      <w:pPr>
        <w:pStyle w:val="Compact"/>
        <w:numPr>
          <w:ilvl w:val="0"/>
          <w:numId w:val="1014"/>
        </w:numPr>
      </w:pPr>
      <w:r>
        <w:t xml:space="preserve">market data updates</w:t>
      </w:r>
    </w:p>
    <w:p>
      <w:pPr>
        <w:pStyle w:val="Compact"/>
        <w:numPr>
          <w:ilvl w:val="0"/>
          <w:numId w:val="1014"/>
        </w:numPr>
      </w:pPr>
      <w:r>
        <w:t xml:space="preserve">background services</w:t>
      </w:r>
    </w:p>
    <w:p>
      <w:pPr>
        <w:pStyle w:val="Compact"/>
        <w:numPr>
          <w:ilvl w:val="0"/>
          <w:numId w:val="1014"/>
        </w:numPr>
      </w:pPr>
      <w:r>
        <w:t xml:space="preserve">scheduled tasks</w:t>
      </w:r>
    </w:p>
    <w:p>
      <w:pPr>
        <w:pStyle w:val="Compact"/>
        <w:numPr>
          <w:ilvl w:val="0"/>
          <w:numId w:val="1014"/>
        </w:numPr>
      </w:pPr>
      <w:r>
        <w:t xml:space="preserve">external integrations</w:t>
      </w:r>
    </w:p>
    <w:p>
      <w:pPr>
        <w:pStyle w:val="FirstParagraph"/>
      </w:pPr>
      <w:r>
        <w:t xml:space="preserve">Rules:</w:t>
      </w:r>
    </w:p>
    <w:p>
      <w:pPr>
        <w:pStyle w:val="Compact"/>
        <w:numPr>
          <w:ilvl w:val="0"/>
          <w:numId w:val="1015"/>
        </w:numPr>
      </w:pPr>
      <w:r>
        <w:t xml:space="preserve">never block the event loop</w:t>
      </w:r>
    </w:p>
    <w:p>
      <w:pPr>
        <w:pStyle w:val="Compact"/>
        <w:numPr>
          <w:ilvl w:val="0"/>
          <w:numId w:val="1015"/>
        </w:numPr>
      </w:pPr>
      <w:r>
        <w:t xml:space="preserve">never block the UI thread</w:t>
      </w:r>
    </w:p>
    <w:p>
      <w:pPr>
        <w:pStyle w:val="Compact"/>
        <w:numPr>
          <w:ilvl w:val="0"/>
          <w:numId w:val="1015"/>
        </w:numPr>
      </w:pPr>
      <w:r>
        <w:t xml:space="preserve">use explicit timeouts for external operations</w:t>
      </w:r>
    </w:p>
    <w:p>
      <w:pPr>
        <w:pStyle w:val="Compact"/>
        <w:numPr>
          <w:ilvl w:val="0"/>
          <w:numId w:val="1015"/>
        </w:numPr>
      </w:pPr>
      <w:r>
        <w:t xml:space="preserve">support graceful cancellation</w:t>
      </w:r>
    </w:p>
    <w:p>
      <w:pPr>
        <w:pStyle w:val="Compact"/>
        <w:numPr>
          <w:ilvl w:val="0"/>
          <w:numId w:val="1015"/>
        </w:numPr>
      </w:pPr>
      <w:r>
        <w:t xml:space="preserve">preserve deterministic shutdown</w:t>
      </w:r>
    </w:p>
    <w:p>
      <w:pPr>
        <w:pStyle w:val="FirstParagraph"/>
      </w:pPr>
      <w:r>
        <w:t xml:space="preserve">Async boundaries shall remain explicit.</w:t>
      </w:r>
    </w:p>
    <w:p>
      <w:r>
        <w:pict>
          <v:rect style="width:0;height:1.5pt" o:hralign="center" o:hrstd="t" o:hr="t"/>
        </w:pict>
      </w:r>
    </w:p>
    <w:bookmarkEnd w:id="20"/>
    <w:bookmarkStart w:id="21" w:name="market-data-requirements"/>
    <w:p>
      <w:pPr>
        <w:pStyle w:val="Heading1"/>
      </w:pPr>
      <w:r>
        <w:t xml:space="preserve">Market Data Requirements</w:t>
      </w:r>
    </w:p>
    <w:p>
      <w:pPr>
        <w:pStyle w:val="FirstParagraph"/>
      </w:pPr>
      <w:r>
        <w:t xml:space="preserve">Market data capabilities shall provide:</w:t>
      </w:r>
    </w:p>
    <w:p>
      <w:pPr>
        <w:pStyle w:val="Compact"/>
        <w:numPr>
          <w:ilvl w:val="0"/>
          <w:numId w:val="1016"/>
        </w:numPr>
      </w:pPr>
      <w:r>
        <w:t xml:space="preserve">instrument identification</w:t>
      </w:r>
    </w:p>
    <w:p>
      <w:pPr>
        <w:pStyle w:val="Compact"/>
        <w:numPr>
          <w:ilvl w:val="0"/>
          <w:numId w:val="1016"/>
        </w:numPr>
      </w:pPr>
      <w:r>
        <w:t xml:space="preserve">quote updates</w:t>
      </w:r>
    </w:p>
    <w:p>
      <w:pPr>
        <w:pStyle w:val="Compact"/>
        <w:numPr>
          <w:ilvl w:val="0"/>
          <w:numId w:val="1016"/>
        </w:numPr>
      </w:pPr>
      <w:r>
        <w:t xml:space="preserve">timestamps</w:t>
      </w:r>
    </w:p>
    <w:p>
      <w:pPr>
        <w:pStyle w:val="Compact"/>
        <w:numPr>
          <w:ilvl w:val="0"/>
          <w:numId w:val="1016"/>
        </w:numPr>
      </w:pPr>
      <w:r>
        <w:t xml:space="preserve">market state</w:t>
      </w:r>
    </w:p>
    <w:p>
      <w:pPr>
        <w:pStyle w:val="Compact"/>
        <w:numPr>
          <w:ilvl w:val="0"/>
          <w:numId w:val="1016"/>
        </w:numPr>
      </w:pPr>
      <w:r>
        <w:t xml:space="preserve">data freshness information</w:t>
      </w:r>
    </w:p>
    <w:p>
      <w:pPr>
        <w:pStyle w:val="Compact"/>
        <w:numPr>
          <w:ilvl w:val="0"/>
          <w:numId w:val="1016"/>
        </w:numPr>
      </w:pPr>
      <w:r>
        <w:t xml:space="preserve">stale data detection</w:t>
      </w:r>
    </w:p>
    <w:p>
      <w:pPr>
        <w:pStyle w:val="Compact"/>
        <w:numPr>
          <w:ilvl w:val="0"/>
          <w:numId w:val="1016"/>
        </w:numPr>
      </w:pPr>
      <w:r>
        <w:t xml:space="preserve">controlled subscription lifecycle</w:t>
      </w:r>
    </w:p>
    <w:p>
      <w:pPr>
        <w:pStyle w:val="FirstParagraph"/>
      </w:pPr>
      <w:r>
        <w:t xml:space="preserve">Market data shall expose its operational state.</w:t>
      </w:r>
    </w:p>
    <w:p>
      <w:pPr>
        <w:pStyle w:val="BodyText"/>
      </w:pPr>
      <w:r>
        <w:t xml:space="preserve">The UI shall distinguish between:</w:t>
      </w:r>
    </w:p>
    <w:p>
      <w:pPr>
        <w:pStyle w:val="Compact"/>
        <w:numPr>
          <w:ilvl w:val="0"/>
          <w:numId w:val="1017"/>
        </w:numPr>
      </w:pPr>
      <w:r>
        <w:t xml:space="preserve">current data</w:t>
      </w:r>
    </w:p>
    <w:p>
      <w:pPr>
        <w:pStyle w:val="Compact"/>
        <w:numPr>
          <w:ilvl w:val="0"/>
          <w:numId w:val="1017"/>
        </w:numPr>
      </w:pPr>
      <w:r>
        <w:t xml:space="preserve">stale data</w:t>
      </w:r>
    </w:p>
    <w:p>
      <w:pPr>
        <w:pStyle w:val="Compact"/>
        <w:numPr>
          <w:ilvl w:val="0"/>
          <w:numId w:val="1017"/>
        </w:numPr>
      </w:pPr>
      <w:r>
        <w:t xml:space="preserve">unavailable data</w:t>
      </w:r>
    </w:p>
    <w:p>
      <w:pPr>
        <w:pStyle w:val="Compact"/>
        <w:numPr>
          <w:ilvl w:val="0"/>
          <w:numId w:val="1017"/>
        </w:numPr>
      </w:pPr>
      <w:r>
        <w:t xml:space="preserve">disconnected state</w:t>
      </w:r>
    </w:p>
    <w:p>
      <w:pPr>
        <w:pStyle w:val="FirstParagraph"/>
      </w:pPr>
      <w:r>
        <w:t xml:space="preserve">Trading workflows shall not silently treat stale data as current data.</w:t>
      </w:r>
    </w:p>
    <w:p>
      <w:r>
        <w:pict>
          <v:rect style="width:0;height:1.5pt" o:hralign="center" o:hrstd="t" o:hr="t"/>
        </w:pict>
      </w:r>
    </w:p>
    <w:bookmarkEnd w:id="21"/>
    <w:bookmarkStart w:id="22" w:name="broker-integration"/>
    <w:p>
      <w:pPr>
        <w:pStyle w:val="Heading1"/>
      </w:pPr>
      <w:r>
        <w:t xml:space="preserve">Broker Integration</w:t>
      </w:r>
    </w:p>
    <w:p>
      <w:pPr>
        <w:pStyle w:val="FirstParagraph"/>
      </w:pPr>
      <w:r>
        <w:t xml:space="preserve">Broker integrations shall be implemented through infrastructure adapters.</w:t>
      </w:r>
    </w:p>
    <w:p>
      <w:pPr>
        <w:pStyle w:val="BodyText"/>
      </w:pPr>
      <w:r>
        <w:t xml:space="preserve">The initial broker integration may support Interactive Brokers.</w:t>
      </w:r>
    </w:p>
    <w:p>
      <w:pPr>
        <w:pStyle w:val="BodyText"/>
      </w:pPr>
      <w:r>
        <w:t xml:space="preserve">Broker adapters shall expose:</w:t>
      </w:r>
    </w:p>
    <w:p>
      <w:pPr>
        <w:pStyle w:val="Compact"/>
        <w:numPr>
          <w:ilvl w:val="0"/>
          <w:numId w:val="1018"/>
        </w:numPr>
      </w:pPr>
      <w:r>
        <w:t xml:space="preserve">connection state</w:t>
      </w:r>
    </w:p>
    <w:p>
      <w:pPr>
        <w:pStyle w:val="Compact"/>
        <w:numPr>
          <w:ilvl w:val="0"/>
          <w:numId w:val="1018"/>
        </w:numPr>
      </w:pPr>
      <w:r>
        <w:t xml:space="preserve">account information</w:t>
      </w:r>
    </w:p>
    <w:p>
      <w:pPr>
        <w:pStyle w:val="Compact"/>
        <w:numPr>
          <w:ilvl w:val="0"/>
          <w:numId w:val="1018"/>
        </w:numPr>
      </w:pPr>
      <w:r>
        <w:t xml:space="preserve">portfolio state</w:t>
      </w:r>
    </w:p>
    <w:p>
      <w:pPr>
        <w:pStyle w:val="Compact"/>
        <w:numPr>
          <w:ilvl w:val="0"/>
          <w:numId w:val="1018"/>
        </w:numPr>
      </w:pPr>
      <w:r>
        <w:t xml:space="preserve">position state</w:t>
      </w:r>
    </w:p>
    <w:p>
      <w:pPr>
        <w:pStyle w:val="Compact"/>
        <w:numPr>
          <w:ilvl w:val="0"/>
          <w:numId w:val="1018"/>
        </w:numPr>
      </w:pPr>
      <w:r>
        <w:t xml:space="preserve">order state</w:t>
      </w:r>
    </w:p>
    <w:p>
      <w:pPr>
        <w:pStyle w:val="Compact"/>
        <w:numPr>
          <w:ilvl w:val="0"/>
          <w:numId w:val="1018"/>
        </w:numPr>
      </w:pPr>
      <w:r>
        <w:t xml:space="preserve">execution information</w:t>
      </w:r>
    </w:p>
    <w:p>
      <w:pPr>
        <w:pStyle w:val="Compact"/>
        <w:numPr>
          <w:ilvl w:val="0"/>
          <w:numId w:val="1018"/>
        </w:numPr>
      </w:pPr>
      <w:r>
        <w:t xml:space="preserve">broker errors</w:t>
      </w:r>
    </w:p>
    <w:p>
      <w:pPr>
        <w:pStyle w:val="FirstParagraph"/>
      </w:pPr>
      <w:r>
        <w:t xml:space="preserve">Domain and application logic shall not depend directly on broker-specific APIs.</w:t>
      </w:r>
    </w:p>
    <w:p>
      <w:pPr>
        <w:pStyle w:val="BodyText"/>
      </w:pPr>
      <w:r>
        <w:t xml:space="preserve">Broker-specific identifiers and behaviour shall remain isolated where practical.</w:t>
      </w:r>
    </w:p>
    <w:p>
      <w:r>
        <w:pict>
          <v:rect style="width:0;height:1.5pt" o:hralign="center" o:hrstd="t" o:hr="t"/>
        </w:pict>
      </w:r>
    </w:p>
    <w:bookmarkEnd w:id="22"/>
    <w:bookmarkStart w:id="23" w:name="order-safety-requirements"/>
    <w:p>
      <w:pPr>
        <w:pStyle w:val="Heading1"/>
      </w:pPr>
      <w:r>
        <w:t xml:space="preserve">Order Safety Requirements</w:t>
      </w:r>
    </w:p>
    <w:p>
      <w:pPr>
        <w:pStyle w:val="FirstParagraph"/>
      </w:pPr>
      <w:r>
        <w:t xml:space="preserve">Order workflows are business-critical.</w:t>
      </w:r>
    </w:p>
    <w:p>
      <w:pPr>
        <w:pStyle w:val="BodyText"/>
      </w:pPr>
      <w:r>
        <w:t xml:space="preserve">The system shall:</w:t>
      </w:r>
    </w:p>
    <w:p>
      <w:pPr>
        <w:pStyle w:val="Compact"/>
        <w:numPr>
          <w:ilvl w:val="0"/>
          <w:numId w:val="1019"/>
        </w:numPr>
      </w:pPr>
      <w:r>
        <w:t xml:space="preserve">validate orders before submission</w:t>
      </w:r>
    </w:p>
    <w:p>
      <w:pPr>
        <w:pStyle w:val="Compact"/>
        <w:numPr>
          <w:ilvl w:val="0"/>
          <w:numId w:val="1019"/>
        </w:numPr>
      </w:pPr>
      <w:r>
        <w:t xml:space="preserve">display order parameters before execution</w:t>
      </w:r>
    </w:p>
    <w:p>
      <w:pPr>
        <w:pStyle w:val="Compact"/>
        <w:numPr>
          <w:ilvl w:val="0"/>
          <w:numId w:val="1019"/>
        </w:numPr>
      </w:pPr>
      <w:r>
        <w:t xml:space="preserve">prevent uncontrolled duplicate submissions</w:t>
      </w:r>
    </w:p>
    <w:p>
      <w:pPr>
        <w:pStyle w:val="Compact"/>
        <w:numPr>
          <w:ilvl w:val="0"/>
          <w:numId w:val="1019"/>
        </w:numPr>
      </w:pPr>
      <w:r>
        <w:t xml:space="preserve">expose broker acknowledgement</w:t>
      </w:r>
    </w:p>
    <w:p>
      <w:pPr>
        <w:pStyle w:val="Compact"/>
        <w:numPr>
          <w:ilvl w:val="0"/>
          <w:numId w:val="1019"/>
        </w:numPr>
      </w:pPr>
      <w:r>
        <w:t xml:space="preserve">expose rejection state</w:t>
      </w:r>
    </w:p>
    <w:p>
      <w:pPr>
        <w:pStyle w:val="Compact"/>
        <w:numPr>
          <w:ilvl w:val="0"/>
          <w:numId w:val="1019"/>
        </w:numPr>
      </w:pPr>
      <w:r>
        <w:t xml:space="preserve">expose execution state</w:t>
      </w:r>
    </w:p>
    <w:p>
      <w:pPr>
        <w:pStyle w:val="Compact"/>
        <w:numPr>
          <w:ilvl w:val="0"/>
          <w:numId w:val="1019"/>
        </w:numPr>
      </w:pPr>
      <w:r>
        <w:t xml:space="preserve">preserve order lifecycle history</w:t>
      </w:r>
    </w:p>
    <w:p>
      <w:pPr>
        <w:pStyle w:val="Compact"/>
        <w:numPr>
          <w:ilvl w:val="0"/>
          <w:numId w:val="1019"/>
        </w:numPr>
      </w:pPr>
      <w:r>
        <w:t xml:space="preserve">reconcile local and broker state</w:t>
      </w:r>
    </w:p>
    <w:p>
      <w:pPr>
        <w:pStyle w:val="FirstParagraph"/>
      </w:pPr>
      <w:r>
        <w:t xml:space="preserve">Order submission shall never fail silently.</w:t>
      </w:r>
    </w:p>
    <w:p>
      <w:pPr>
        <w:pStyle w:val="BodyText"/>
      </w:pPr>
      <w:r>
        <w:t xml:space="preserve">Unexpected order state shall be visible and logged.</w:t>
      </w:r>
    </w:p>
    <w:p>
      <w:pPr>
        <w:pStyle w:val="BodyText"/>
      </w:pPr>
      <w:r>
        <w:t xml:space="preserve">LIVE trading capabilities require explicit product and operational approval.</w:t>
      </w:r>
    </w:p>
    <w:p>
      <w:r>
        <w:pict>
          <v:rect style="width:0;height:1.5pt" o:hralign="center" o:hrstd="t" o:hr="t"/>
        </w:pict>
      </w:r>
    </w:p>
    <w:bookmarkEnd w:id="23"/>
    <w:bookmarkStart w:id="24" w:name="portfolio-and-position-requirements"/>
    <w:p>
      <w:pPr>
        <w:pStyle w:val="Heading1"/>
      </w:pPr>
      <w:r>
        <w:t xml:space="preserve">Portfolio and Position Requirements</w:t>
      </w:r>
    </w:p>
    <w:p>
      <w:pPr>
        <w:pStyle w:val="FirstParagraph"/>
      </w:pPr>
      <w:r>
        <w:t xml:space="preserve">Portfolio and position information shall provide:</w:t>
      </w:r>
    </w:p>
    <w:p>
      <w:pPr>
        <w:pStyle w:val="Compact"/>
        <w:numPr>
          <w:ilvl w:val="0"/>
          <w:numId w:val="1020"/>
        </w:numPr>
      </w:pPr>
      <w:r>
        <w:t xml:space="preserve">account context</w:t>
      </w:r>
    </w:p>
    <w:p>
      <w:pPr>
        <w:pStyle w:val="Compact"/>
        <w:numPr>
          <w:ilvl w:val="0"/>
          <w:numId w:val="1020"/>
        </w:numPr>
      </w:pPr>
      <w:r>
        <w:t xml:space="preserve">current positions</w:t>
      </w:r>
    </w:p>
    <w:p>
      <w:pPr>
        <w:pStyle w:val="Compact"/>
        <w:numPr>
          <w:ilvl w:val="0"/>
          <w:numId w:val="1020"/>
        </w:numPr>
      </w:pPr>
      <w:r>
        <w:t xml:space="preserve">quantities</w:t>
      </w:r>
    </w:p>
    <w:p>
      <w:pPr>
        <w:pStyle w:val="Compact"/>
        <w:numPr>
          <w:ilvl w:val="0"/>
          <w:numId w:val="1020"/>
        </w:numPr>
      </w:pPr>
      <w:r>
        <w:t xml:space="preserve">average prices where available</w:t>
      </w:r>
    </w:p>
    <w:p>
      <w:pPr>
        <w:pStyle w:val="Compact"/>
        <w:numPr>
          <w:ilvl w:val="0"/>
          <w:numId w:val="1020"/>
        </w:numPr>
      </w:pPr>
      <w:r>
        <w:t xml:space="preserve">current valuation where available</w:t>
      </w:r>
    </w:p>
    <w:p>
      <w:pPr>
        <w:pStyle w:val="Compact"/>
        <w:numPr>
          <w:ilvl w:val="0"/>
          <w:numId w:val="1020"/>
        </w:numPr>
      </w:pPr>
      <w:r>
        <w:t xml:space="preserve">unrealized P&amp;L where available</w:t>
      </w:r>
    </w:p>
    <w:p>
      <w:pPr>
        <w:pStyle w:val="Compact"/>
        <w:numPr>
          <w:ilvl w:val="0"/>
          <w:numId w:val="1020"/>
        </w:numPr>
      </w:pPr>
      <w:r>
        <w:t xml:space="preserve">realized P&amp;L where available</w:t>
      </w:r>
    </w:p>
    <w:p>
      <w:pPr>
        <w:pStyle w:val="Compact"/>
        <w:numPr>
          <w:ilvl w:val="0"/>
          <w:numId w:val="1020"/>
        </w:numPr>
      </w:pPr>
      <w:r>
        <w:t xml:space="preserve">data timestamps</w:t>
      </w:r>
    </w:p>
    <w:p>
      <w:pPr>
        <w:pStyle w:val="Compact"/>
        <w:numPr>
          <w:ilvl w:val="0"/>
          <w:numId w:val="1020"/>
        </w:numPr>
      </w:pPr>
      <w:r>
        <w:t xml:space="preserve">source state</w:t>
      </w:r>
    </w:p>
    <w:p>
      <w:pPr>
        <w:pStyle w:val="FirstParagraph"/>
      </w:pPr>
      <w:r>
        <w:t xml:space="preserve">Local state and broker state shall remain distinguishable.</w:t>
      </w:r>
    </w:p>
    <w:p>
      <w:pPr>
        <w:pStyle w:val="BodyText"/>
      </w:pPr>
      <w:r>
        <w:t xml:space="preserve">State discrepancies shall be detectable and observable.</w:t>
      </w:r>
    </w:p>
    <w:p>
      <w:pPr>
        <w:pStyle w:val="BodyText"/>
      </w:pPr>
      <w:r>
        <w:t xml:space="preserve">The system shall not invent missing financial values.</w:t>
      </w:r>
    </w:p>
    <w:p>
      <w:r>
        <w:pict>
          <v:rect style="width:0;height:1.5pt" o:hralign="center" o:hrstd="t" o:hr="t"/>
        </w:pict>
      </w:r>
    </w:p>
    <w:bookmarkEnd w:id="24"/>
    <w:bookmarkStart w:id="25" w:name="risk-requirements"/>
    <w:p>
      <w:pPr>
        <w:pStyle w:val="Heading1"/>
      </w:pPr>
      <w:r>
        <w:t xml:space="preserve">Risk Requirements</w:t>
      </w:r>
    </w:p>
    <w:p>
      <w:pPr>
        <w:pStyle w:val="FirstParagraph"/>
      </w:pPr>
      <w:r>
        <w:t xml:space="preserve">Risk information shall support trading decisions.</w:t>
      </w:r>
    </w:p>
    <w:p>
      <w:pPr>
        <w:pStyle w:val="BodyText"/>
      </w:pPr>
      <w:r>
        <w:t xml:space="preserve">Initial risk capabilities may include:</w:t>
      </w:r>
    </w:p>
    <w:p>
      <w:pPr>
        <w:pStyle w:val="Compact"/>
        <w:numPr>
          <w:ilvl w:val="0"/>
          <w:numId w:val="1021"/>
        </w:numPr>
      </w:pPr>
      <w:r>
        <w:t xml:space="preserve">portfolio exposure</w:t>
      </w:r>
    </w:p>
    <w:p>
      <w:pPr>
        <w:pStyle w:val="Compact"/>
        <w:numPr>
          <w:ilvl w:val="0"/>
          <w:numId w:val="1021"/>
        </w:numPr>
      </w:pPr>
      <w:r>
        <w:t xml:space="preserve">position exposure</w:t>
      </w:r>
    </w:p>
    <w:p>
      <w:pPr>
        <w:pStyle w:val="Compact"/>
        <w:numPr>
          <w:ilvl w:val="0"/>
          <w:numId w:val="1021"/>
        </w:numPr>
      </w:pPr>
      <w:r>
        <w:t xml:space="preserve">concentration</w:t>
      </w:r>
    </w:p>
    <w:p>
      <w:pPr>
        <w:pStyle w:val="Compact"/>
        <w:numPr>
          <w:ilvl w:val="0"/>
          <w:numId w:val="1021"/>
        </w:numPr>
      </w:pPr>
      <w:r>
        <w:t xml:space="preserve">available broker risk information</w:t>
      </w:r>
    </w:p>
    <w:p>
      <w:pPr>
        <w:pStyle w:val="Compact"/>
        <w:numPr>
          <w:ilvl w:val="0"/>
          <w:numId w:val="1021"/>
        </w:numPr>
      </w:pPr>
      <w:r>
        <w:t xml:space="preserve">margin information where available</w:t>
      </w:r>
    </w:p>
    <w:p>
      <w:pPr>
        <w:pStyle w:val="FirstParagraph"/>
      </w:pPr>
      <w:r>
        <w:t xml:space="preserve">Risk data shall expose:</w:t>
      </w:r>
    </w:p>
    <w:p>
      <w:pPr>
        <w:pStyle w:val="Compact"/>
        <w:numPr>
          <w:ilvl w:val="0"/>
          <w:numId w:val="1022"/>
        </w:numPr>
      </w:pPr>
      <w:r>
        <w:t xml:space="preserve">source</w:t>
      </w:r>
    </w:p>
    <w:p>
      <w:pPr>
        <w:pStyle w:val="Compact"/>
        <w:numPr>
          <w:ilvl w:val="0"/>
          <w:numId w:val="1022"/>
        </w:numPr>
      </w:pPr>
      <w:r>
        <w:t xml:space="preserve">timestamp</w:t>
      </w:r>
    </w:p>
    <w:p>
      <w:pPr>
        <w:pStyle w:val="Compact"/>
        <w:numPr>
          <w:ilvl w:val="0"/>
          <w:numId w:val="1022"/>
        </w:numPr>
      </w:pPr>
      <w:r>
        <w:t xml:space="preserve">availability state</w:t>
      </w:r>
    </w:p>
    <w:p>
      <w:pPr>
        <w:pStyle w:val="FirstParagraph"/>
      </w:pPr>
      <w:r>
        <w:t xml:space="preserve">Unavailable risk information shall be shown as unavailable rather than estimated silently.</w:t>
      </w:r>
    </w:p>
    <w:p>
      <w:r>
        <w:pict>
          <v:rect style="width:0;height:1.5pt" o:hralign="center" o:hrstd="t" o:hr="t"/>
        </w:pict>
      </w:r>
    </w:p>
    <w:bookmarkEnd w:id="25"/>
    <w:bookmarkStart w:id="26" w:name="decision-support-requirements"/>
    <w:p>
      <w:pPr>
        <w:pStyle w:val="Heading1"/>
      </w:pPr>
      <w:r>
        <w:t xml:space="preserve">Decision Support Requirements</w:t>
      </w:r>
    </w:p>
    <w:p>
      <w:pPr>
        <w:pStyle w:val="FirstParagraph"/>
      </w:pPr>
      <w:r>
        <w:t xml:space="preserve">The Decision Center shall support a transparent trading decision process.</w:t>
      </w:r>
    </w:p>
    <w:p>
      <w:pPr>
        <w:pStyle w:val="BodyText"/>
      </w:pPr>
      <w:r>
        <w:t xml:space="preserve">Decision information may include:</w:t>
      </w:r>
    </w:p>
    <w:p>
      <w:pPr>
        <w:pStyle w:val="Compact"/>
        <w:numPr>
          <w:ilvl w:val="0"/>
          <w:numId w:val="1023"/>
        </w:numPr>
      </w:pPr>
      <w:r>
        <w:t xml:space="preserve">instrument</w:t>
      </w:r>
    </w:p>
    <w:p>
      <w:pPr>
        <w:pStyle w:val="Compact"/>
        <w:numPr>
          <w:ilvl w:val="0"/>
          <w:numId w:val="1023"/>
        </w:numPr>
      </w:pPr>
      <w:r>
        <w:t xml:space="preserve">candidate state</w:t>
      </w:r>
    </w:p>
    <w:p>
      <w:pPr>
        <w:pStyle w:val="Compact"/>
        <w:numPr>
          <w:ilvl w:val="0"/>
          <w:numId w:val="1023"/>
        </w:numPr>
      </w:pPr>
      <w:r>
        <w:t xml:space="preserve">market context</w:t>
      </w:r>
    </w:p>
    <w:p>
      <w:pPr>
        <w:pStyle w:val="Compact"/>
        <w:numPr>
          <w:ilvl w:val="0"/>
          <w:numId w:val="1023"/>
        </w:numPr>
      </w:pPr>
      <w:r>
        <w:t xml:space="preserve">portfolio context</w:t>
      </w:r>
    </w:p>
    <w:p>
      <w:pPr>
        <w:pStyle w:val="Compact"/>
        <w:numPr>
          <w:ilvl w:val="0"/>
          <w:numId w:val="1023"/>
        </w:numPr>
      </w:pPr>
      <w:r>
        <w:t xml:space="preserve">risk context</w:t>
      </w:r>
    </w:p>
    <w:p>
      <w:pPr>
        <w:pStyle w:val="Compact"/>
        <w:numPr>
          <w:ilvl w:val="0"/>
          <w:numId w:val="1023"/>
        </w:numPr>
      </w:pPr>
      <w:r>
        <w:t xml:space="preserve">notes</w:t>
      </w:r>
    </w:p>
    <w:p>
      <w:pPr>
        <w:pStyle w:val="Compact"/>
        <w:numPr>
          <w:ilvl w:val="0"/>
          <w:numId w:val="1023"/>
        </w:numPr>
      </w:pPr>
      <w:r>
        <w:t xml:space="preserve">tags</w:t>
      </w:r>
    </w:p>
    <w:p>
      <w:pPr>
        <w:pStyle w:val="Compact"/>
        <w:numPr>
          <w:ilvl w:val="0"/>
          <w:numId w:val="1023"/>
        </w:numPr>
      </w:pPr>
      <w:r>
        <w:t xml:space="preserve">signals</w:t>
      </w:r>
    </w:p>
    <w:p>
      <w:pPr>
        <w:pStyle w:val="Compact"/>
        <w:numPr>
          <w:ilvl w:val="0"/>
          <w:numId w:val="1023"/>
        </w:numPr>
      </w:pPr>
      <w:r>
        <w:t xml:space="preserve">strategy evaluation</w:t>
      </w:r>
    </w:p>
    <w:p>
      <w:pPr>
        <w:pStyle w:val="Compact"/>
        <w:numPr>
          <w:ilvl w:val="0"/>
          <w:numId w:val="1023"/>
        </w:numPr>
      </w:pPr>
      <w:r>
        <w:t xml:space="preserve">decision status</w:t>
      </w:r>
    </w:p>
    <w:p>
      <w:pPr>
        <w:pStyle w:val="FirstParagraph"/>
      </w:pPr>
      <w:r>
        <w:t xml:space="preserve">Decision support shall preserve relevant context.</w:t>
      </w:r>
    </w:p>
    <w:p>
      <w:pPr>
        <w:pStyle w:val="BodyText"/>
      </w:pPr>
      <w:r>
        <w:t xml:space="preserve">Future AI-assisted capabilities shall remain distinguishable from deterministic system information.</w:t>
      </w:r>
    </w:p>
    <w:p>
      <w:r>
        <w:pict>
          <v:rect style="width:0;height:1.5pt" o:hralign="center" o:hrstd="t" o:hr="t"/>
        </w:pict>
      </w:r>
    </w:p>
    <w:bookmarkEnd w:id="26"/>
    <w:bookmarkStart w:id="27" w:name="data-storage"/>
    <w:p>
      <w:pPr>
        <w:pStyle w:val="Heading1"/>
      </w:pPr>
      <w:r>
        <w:t xml:space="preserve">Data Storage</w:t>
      </w:r>
    </w:p>
    <w:p>
      <w:pPr>
        <w:pStyle w:val="FirstParagraph"/>
      </w:pPr>
      <w:r>
        <w:t xml:space="preserve">Primary local storage:</w:t>
      </w:r>
    </w:p>
    <w:p>
      <w:pPr>
        <w:pStyle w:val="Compact"/>
        <w:numPr>
          <w:ilvl w:val="0"/>
          <w:numId w:val="1024"/>
        </w:numPr>
      </w:pPr>
      <w:r>
        <w:t xml:space="preserve">SQLite</w:t>
      </w:r>
    </w:p>
    <w:p>
      <w:pPr>
        <w:pStyle w:val="FirstParagraph"/>
      </w:pPr>
      <w:r>
        <w:t xml:space="preserve">Persistence access shall use:</w:t>
      </w:r>
    </w:p>
    <w:p>
      <w:pPr>
        <w:pStyle w:val="Compact"/>
        <w:numPr>
          <w:ilvl w:val="0"/>
          <w:numId w:val="1025"/>
        </w:numPr>
      </w:pPr>
      <w:r>
        <w:t xml:space="preserve">Repository Pattern</w:t>
      </w:r>
    </w:p>
    <w:p>
      <w:pPr>
        <w:pStyle w:val="Compact"/>
        <w:numPr>
          <w:ilvl w:val="0"/>
          <w:numId w:val="1025"/>
        </w:numPr>
      </w:pPr>
      <w:r>
        <w:t xml:space="preserve">SQLAlchemy where appropriate</w:t>
      </w:r>
    </w:p>
    <w:p>
      <w:pPr>
        <w:pStyle w:val="FirstParagraph"/>
      </w:pPr>
      <w:r>
        <w:t xml:space="preserve">Storage responsibilities may include:</w:t>
      </w:r>
    </w:p>
    <w:p>
      <w:pPr>
        <w:pStyle w:val="Compact"/>
        <w:numPr>
          <w:ilvl w:val="0"/>
          <w:numId w:val="1026"/>
        </w:numPr>
      </w:pPr>
      <w:r>
        <w:t xml:space="preserve">application state</w:t>
      </w:r>
    </w:p>
    <w:p>
      <w:pPr>
        <w:pStyle w:val="Compact"/>
        <w:numPr>
          <w:ilvl w:val="0"/>
          <w:numId w:val="1026"/>
        </w:numPr>
      </w:pPr>
      <w:r>
        <w:t xml:space="preserve">workspace metadata</w:t>
      </w:r>
    </w:p>
    <w:p>
      <w:pPr>
        <w:pStyle w:val="Compact"/>
        <w:numPr>
          <w:ilvl w:val="0"/>
          <w:numId w:val="1026"/>
        </w:numPr>
      </w:pPr>
      <w:r>
        <w:t xml:space="preserve">watchlists</w:t>
      </w:r>
    </w:p>
    <w:p>
      <w:pPr>
        <w:pStyle w:val="Compact"/>
        <w:numPr>
          <w:ilvl w:val="0"/>
          <w:numId w:val="1026"/>
        </w:numPr>
      </w:pPr>
      <w:r>
        <w:t xml:space="preserve">trading candidates</w:t>
      </w:r>
    </w:p>
    <w:p>
      <w:pPr>
        <w:pStyle w:val="Compact"/>
        <w:numPr>
          <w:ilvl w:val="0"/>
          <w:numId w:val="1026"/>
        </w:numPr>
      </w:pPr>
      <w:r>
        <w:t xml:space="preserve">decisions</w:t>
      </w:r>
    </w:p>
    <w:p>
      <w:pPr>
        <w:pStyle w:val="Compact"/>
        <w:numPr>
          <w:ilvl w:val="0"/>
          <w:numId w:val="1026"/>
        </w:numPr>
      </w:pPr>
      <w:r>
        <w:t xml:space="preserve">local order state</w:t>
      </w:r>
    </w:p>
    <w:p>
      <w:pPr>
        <w:pStyle w:val="Compact"/>
        <w:numPr>
          <w:ilvl w:val="0"/>
          <w:numId w:val="1026"/>
        </w:numPr>
      </w:pPr>
      <w:r>
        <w:t xml:space="preserve">journal information</w:t>
      </w:r>
    </w:p>
    <w:p>
      <w:pPr>
        <w:pStyle w:val="Compact"/>
        <w:numPr>
          <w:ilvl w:val="0"/>
          <w:numId w:val="1026"/>
        </w:numPr>
      </w:pPr>
      <w:r>
        <w:t xml:space="preserve">configuration references</w:t>
      </w:r>
    </w:p>
    <w:p>
      <w:pPr>
        <w:pStyle w:val="FirstParagraph"/>
      </w:pPr>
      <w:r>
        <w:t xml:space="preserve">Business logic shall not depend directly on SQLite or SQLAlchemy.</w:t>
      </w:r>
    </w:p>
    <w:p>
      <w:r>
        <w:pict>
          <v:rect style="width:0;height:1.5pt" o:hralign="center" o:hrstd="t" o:hr="t"/>
        </w:pict>
      </w:r>
    </w:p>
    <w:bookmarkEnd w:id="27"/>
    <w:bookmarkStart w:id="28" w:name="configuration"/>
    <w:p>
      <w:pPr>
        <w:pStyle w:val="Heading1"/>
      </w:pPr>
      <w:r>
        <w:t xml:space="preserve">Configuration</w:t>
      </w:r>
    </w:p>
    <w:p>
      <w:pPr>
        <w:pStyle w:val="FirstParagraph"/>
      </w:pPr>
      <w:r>
        <w:t xml:space="preserve">Configuration shall be:</w:t>
      </w:r>
    </w:p>
    <w:p>
      <w:pPr>
        <w:pStyle w:val="Compact"/>
        <w:numPr>
          <w:ilvl w:val="0"/>
          <w:numId w:val="1027"/>
        </w:numPr>
      </w:pPr>
      <w:r>
        <w:t xml:space="preserve">externalized</w:t>
      </w:r>
    </w:p>
    <w:p>
      <w:pPr>
        <w:pStyle w:val="Compact"/>
        <w:numPr>
          <w:ilvl w:val="0"/>
          <w:numId w:val="1027"/>
        </w:numPr>
      </w:pPr>
      <w:r>
        <w:t xml:space="preserve">explicit</w:t>
      </w:r>
    </w:p>
    <w:p>
      <w:pPr>
        <w:pStyle w:val="Compact"/>
        <w:numPr>
          <w:ilvl w:val="0"/>
          <w:numId w:val="1027"/>
        </w:numPr>
      </w:pPr>
      <w:r>
        <w:t xml:space="preserve">validated during startup</w:t>
      </w:r>
    </w:p>
    <w:p>
      <w:pPr>
        <w:pStyle w:val="Compact"/>
        <w:numPr>
          <w:ilvl w:val="0"/>
          <w:numId w:val="1027"/>
        </w:numPr>
      </w:pPr>
      <w:r>
        <w:t xml:space="preserve">environment-aware</w:t>
      </w:r>
    </w:p>
    <w:p>
      <w:pPr>
        <w:pStyle w:val="Compact"/>
        <w:numPr>
          <w:ilvl w:val="0"/>
          <w:numId w:val="1027"/>
        </w:numPr>
      </w:pPr>
      <w:r>
        <w:t xml:space="preserve">independent from business logic</w:t>
      </w:r>
    </w:p>
    <w:p>
      <w:pPr>
        <w:pStyle w:val="FirstParagraph"/>
      </w:pPr>
      <w:r>
        <w:t xml:space="preserve">Primary configuration format:</w:t>
      </w:r>
    </w:p>
    <w:p>
      <w:pPr>
        <w:pStyle w:val="Compact"/>
        <w:numPr>
          <w:ilvl w:val="0"/>
          <w:numId w:val="1028"/>
        </w:numPr>
      </w:pPr>
      <w:r>
        <w:t xml:space="preserve">YAML</w:t>
      </w:r>
    </w:p>
    <w:p>
      <w:pPr>
        <w:pStyle w:val="FirstParagraph"/>
      </w:pPr>
      <w:r>
        <w:t xml:space="preserve">Secrets shall not be stored in source-controlled configuration files.</w:t>
      </w:r>
    </w:p>
    <w:p>
      <w:pPr>
        <w:pStyle w:val="BodyText"/>
      </w:pPr>
      <w:r>
        <w:t xml:space="preserve">Configuration precedence shall remain deterministic.</w:t>
      </w:r>
    </w:p>
    <w:p>
      <w:r>
        <w:pict>
          <v:rect style="width:0;height:1.5pt" o:hralign="center" o:hrstd="t" o:hr="t"/>
        </w:pict>
      </w:r>
    </w:p>
    <w:bookmarkEnd w:id="28"/>
    <w:bookmarkStart w:id="29" w:name="logging"/>
    <w:p>
      <w:pPr>
        <w:pStyle w:val="Heading1"/>
      </w:pPr>
      <w:r>
        <w:t xml:space="preserve">Logging</w:t>
      </w:r>
    </w:p>
    <w:p>
      <w:pPr>
        <w:pStyle w:val="FirstParagraph"/>
      </w:pPr>
      <w:r>
        <w:t xml:space="preserve">The application shall use structured logging.</w:t>
      </w:r>
    </w:p>
    <w:p>
      <w:pPr>
        <w:pStyle w:val="BodyText"/>
      </w:pPr>
      <w:r>
        <w:t xml:space="preserve">Logging shall provide sufficient context for:</w:t>
      </w:r>
    </w:p>
    <w:p>
      <w:pPr>
        <w:pStyle w:val="Compact"/>
        <w:numPr>
          <w:ilvl w:val="0"/>
          <w:numId w:val="1029"/>
        </w:numPr>
      </w:pPr>
      <w:r>
        <w:t xml:space="preserve">startup</w:t>
      </w:r>
    </w:p>
    <w:p>
      <w:pPr>
        <w:pStyle w:val="Compact"/>
        <w:numPr>
          <w:ilvl w:val="0"/>
          <w:numId w:val="1029"/>
        </w:numPr>
      </w:pPr>
      <w:r>
        <w:t xml:space="preserve">shutdown</w:t>
      </w:r>
    </w:p>
    <w:p>
      <w:pPr>
        <w:pStyle w:val="Compact"/>
        <w:numPr>
          <w:ilvl w:val="0"/>
          <w:numId w:val="1029"/>
        </w:numPr>
      </w:pPr>
      <w:r>
        <w:t xml:space="preserve">configuration</w:t>
      </w:r>
    </w:p>
    <w:p>
      <w:pPr>
        <w:pStyle w:val="Compact"/>
        <w:numPr>
          <w:ilvl w:val="0"/>
          <w:numId w:val="1029"/>
        </w:numPr>
      </w:pPr>
      <w:r>
        <w:t xml:space="preserve">broker connectivity</w:t>
      </w:r>
    </w:p>
    <w:p>
      <w:pPr>
        <w:pStyle w:val="Compact"/>
        <w:numPr>
          <w:ilvl w:val="0"/>
          <w:numId w:val="1029"/>
        </w:numPr>
      </w:pPr>
      <w:r>
        <w:t xml:space="preserve">market data state</w:t>
      </w:r>
    </w:p>
    <w:p>
      <w:pPr>
        <w:pStyle w:val="Compact"/>
        <w:numPr>
          <w:ilvl w:val="0"/>
          <w:numId w:val="1029"/>
        </w:numPr>
      </w:pPr>
      <w:r>
        <w:t xml:space="preserve">order lifecycle</w:t>
      </w:r>
    </w:p>
    <w:p>
      <w:pPr>
        <w:pStyle w:val="Compact"/>
        <w:numPr>
          <w:ilvl w:val="0"/>
          <w:numId w:val="1029"/>
        </w:numPr>
      </w:pPr>
      <w:r>
        <w:t xml:space="preserve">position reconciliation</w:t>
      </w:r>
    </w:p>
    <w:p>
      <w:pPr>
        <w:pStyle w:val="Compact"/>
        <w:numPr>
          <w:ilvl w:val="0"/>
          <w:numId w:val="1029"/>
        </w:numPr>
      </w:pPr>
      <w:r>
        <w:t xml:space="preserve">background services</w:t>
      </w:r>
    </w:p>
    <w:p>
      <w:pPr>
        <w:pStyle w:val="Compact"/>
        <w:numPr>
          <w:ilvl w:val="0"/>
          <w:numId w:val="1029"/>
        </w:numPr>
      </w:pPr>
      <w:r>
        <w:t xml:space="preserve">critical failures</w:t>
      </w:r>
    </w:p>
    <w:p>
      <w:pPr>
        <w:pStyle w:val="FirstParagraph"/>
      </w:pPr>
      <w:r>
        <w:t xml:space="preserve">Sensitive information shall never be logged.</w:t>
      </w:r>
    </w:p>
    <w:p>
      <w:pPr>
        <w:pStyle w:val="BodyText"/>
      </w:pPr>
      <w:r>
        <w:t xml:space="preserve">Business-critical lifecycle events should remain traceable.</w:t>
      </w:r>
    </w:p>
    <w:p>
      <w:r>
        <w:pict>
          <v:rect style="width:0;height:1.5pt" o:hralign="center" o:hrstd="t" o:hr="t"/>
        </w:pict>
      </w:r>
    </w:p>
    <w:bookmarkEnd w:id="29"/>
    <w:bookmarkStart w:id="30" w:name="monitoring-and-health"/>
    <w:p>
      <w:pPr>
        <w:pStyle w:val="Heading1"/>
      </w:pPr>
      <w:r>
        <w:t xml:space="preserve">Monitoring and Health</w:t>
      </w:r>
    </w:p>
    <w:p>
      <w:pPr>
        <w:pStyle w:val="FirstParagraph"/>
      </w:pPr>
      <w:r>
        <w:t xml:space="preserve">The application shall expose operational health information.</w:t>
      </w:r>
    </w:p>
    <w:p>
      <w:pPr>
        <w:pStyle w:val="BodyText"/>
      </w:pPr>
      <w:r>
        <w:t xml:space="preserve">Monitoring may include:</w:t>
      </w:r>
    </w:p>
    <w:p>
      <w:pPr>
        <w:pStyle w:val="Compact"/>
        <w:numPr>
          <w:ilvl w:val="0"/>
          <w:numId w:val="1030"/>
        </w:numPr>
      </w:pPr>
      <w:r>
        <w:t xml:space="preserve">runtime state</w:t>
      </w:r>
    </w:p>
    <w:p>
      <w:pPr>
        <w:pStyle w:val="Compact"/>
        <w:numPr>
          <w:ilvl w:val="0"/>
          <w:numId w:val="1030"/>
        </w:numPr>
      </w:pPr>
      <w:r>
        <w:t xml:space="preserve">broker connection state</w:t>
      </w:r>
    </w:p>
    <w:p>
      <w:pPr>
        <w:pStyle w:val="Compact"/>
        <w:numPr>
          <w:ilvl w:val="0"/>
          <w:numId w:val="1030"/>
        </w:numPr>
      </w:pPr>
      <w:r>
        <w:t xml:space="preserve">market data state</w:t>
      </w:r>
    </w:p>
    <w:p>
      <w:pPr>
        <w:pStyle w:val="Compact"/>
        <w:numPr>
          <w:ilvl w:val="0"/>
          <w:numId w:val="1030"/>
        </w:numPr>
      </w:pPr>
      <w:r>
        <w:t xml:space="preserve">background worker state</w:t>
      </w:r>
    </w:p>
    <w:p>
      <w:pPr>
        <w:pStyle w:val="Compact"/>
        <w:numPr>
          <w:ilvl w:val="0"/>
          <w:numId w:val="1030"/>
        </w:numPr>
      </w:pPr>
      <w:r>
        <w:t xml:space="preserve">event processing</w:t>
      </w:r>
    </w:p>
    <w:p>
      <w:pPr>
        <w:pStyle w:val="Compact"/>
        <w:numPr>
          <w:ilvl w:val="0"/>
          <w:numId w:val="1030"/>
        </w:numPr>
      </w:pPr>
      <w:r>
        <w:t xml:space="preserve">resource usage</w:t>
      </w:r>
    </w:p>
    <w:p>
      <w:pPr>
        <w:pStyle w:val="Compact"/>
        <w:numPr>
          <w:ilvl w:val="0"/>
          <w:numId w:val="1030"/>
        </w:numPr>
      </w:pPr>
      <w:r>
        <w:t xml:space="preserve">critical failures</w:t>
      </w:r>
    </w:p>
    <w:p>
      <w:pPr>
        <w:pStyle w:val="FirstParagraph"/>
      </w:pPr>
      <w:r>
        <w:t xml:space="preserve">Monitoring shall not change application behaviour.</w:t>
      </w:r>
    </w:p>
    <w:p>
      <w:pPr>
        <w:pStyle w:val="BodyText"/>
      </w:pPr>
      <w:r>
        <w:t xml:space="preserve">Operational state shall be visible to the user where relevant.</w:t>
      </w:r>
    </w:p>
    <w:p>
      <w:r>
        <w:pict>
          <v:rect style="width:0;height:1.5pt" o:hralign="center" o:hrstd="t" o:hr="t"/>
        </w:pict>
      </w:r>
    </w:p>
    <w:bookmarkEnd w:id="30"/>
    <w:bookmarkStart w:id="31" w:name="performance-requirements"/>
    <w:p>
      <w:pPr>
        <w:pStyle w:val="Heading1"/>
      </w:pPr>
      <w:r>
        <w:t xml:space="preserve">Performance Requirements</w:t>
      </w:r>
    </w:p>
    <w:p>
      <w:pPr>
        <w:pStyle w:val="FirstParagraph"/>
      </w:pPr>
      <w:r>
        <w:t xml:space="preserve">The Trading Cockpit shall remain responsive during normal operation.</w:t>
      </w:r>
    </w:p>
    <w:p>
      <w:pPr>
        <w:pStyle w:val="BodyText"/>
      </w:pPr>
      <w:r>
        <w:t xml:space="preserve">Requirements:</w:t>
      </w:r>
    </w:p>
    <w:p>
      <w:pPr>
        <w:pStyle w:val="Compact"/>
        <w:numPr>
          <w:ilvl w:val="0"/>
          <w:numId w:val="1031"/>
        </w:numPr>
      </w:pPr>
      <w:r>
        <w:t xml:space="preserve">UI operations shall not be blocked by external integrations</w:t>
      </w:r>
    </w:p>
    <w:p>
      <w:pPr>
        <w:pStyle w:val="Compact"/>
        <w:numPr>
          <w:ilvl w:val="0"/>
          <w:numId w:val="1031"/>
        </w:numPr>
      </w:pPr>
      <w:r>
        <w:t xml:space="preserve">background work shall remain isolated from the UI thread</w:t>
      </w:r>
    </w:p>
    <w:p>
      <w:pPr>
        <w:pStyle w:val="Compact"/>
        <w:numPr>
          <w:ilvl w:val="0"/>
          <w:numId w:val="1031"/>
        </w:numPr>
      </w:pPr>
      <w:r>
        <w:t xml:space="preserve">market data updates shall not cause uncontrolled UI refresh rates</w:t>
      </w:r>
    </w:p>
    <w:p>
      <w:pPr>
        <w:pStyle w:val="Compact"/>
        <w:numPr>
          <w:ilvl w:val="0"/>
          <w:numId w:val="1031"/>
        </w:numPr>
      </w:pPr>
      <w:r>
        <w:t xml:space="preserve">widget updates should be incremental where practical</w:t>
      </w:r>
    </w:p>
    <w:p>
      <w:pPr>
        <w:pStyle w:val="Compact"/>
        <w:numPr>
          <w:ilvl w:val="0"/>
          <w:numId w:val="1031"/>
        </w:numPr>
      </w:pPr>
      <w:r>
        <w:t xml:space="preserve">unnecessary allocations should be avoided in high-frequency paths</w:t>
      </w:r>
    </w:p>
    <w:p>
      <w:pPr>
        <w:pStyle w:val="Compact"/>
        <w:numPr>
          <w:ilvl w:val="0"/>
          <w:numId w:val="1031"/>
        </w:numPr>
      </w:pPr>
      <w:r>
        <w:t xml:space="preserve">startup performance shall be measurable</w:t>
      </w:r>
    </w:p>
    <w:p>
      <w:pPr>
        <w:pStyle w:val="FirstParagraph"/>
      </w:pPr>
      <w:r>
        <w:t xml:space="preserve">Performance optimization shall be based on measurement.</w:t>
      </w:r>
    </w:p>
    <w:p>
      <w:r>
        <w:pict>
          <v:rect style="width:0;height:1.5pt" o:hralign="center" o:hrstd="t" o:hr="t"/>
        </w:pict>
      </w:r>
    </w:p>
    <w:bookmarkEnd w:id="31"/>
    <w:bookmarkStart w:id="32" w:name="error-handling"/>
    <w:p>
      <w:pPr>
        <w:pStyle w:val="Heading1"/>
      </w:pPr>
      <w:r>
        <w:t xml:space="preserve">Error Handling</w:t>
      </w:r>
    </w:p>
    <w:p>
      <w:pPr>
        <w:pStyle w:val="FirstParagraph"/>
      </w:pPr>
      <w:r>
        <w:t xml:space="preserve">Errors shall be:</w:t>
      </w:r>
    </w:p>
    <w:p>
      <w:pPr>
        <w:pStyle w:val="Compact"/>
        <w:numPr>
          <w:ilvl w:val="0"/>
          <w:numId w:val="1032"/>
        </w:numPr>
      </w:pPr>
      <w:r>
        <w:t xml:space="preserve">explicit</w:t>
      </w:r>
    </w:p>
    <w:p>
      <w:pPr>
        <w:pStyle w:val="Compact"/>
        <w:numPr>
          <w:ilvl w:val="0"/>
          <w:numId w:val="1032"/>
        </w:numPr>
      </w:pPr>
      <w:r>
        <w:t xml:space="preserve">logged appropriately</w:t>
      </w:r>
    </w:p>
    <w:p>
      <w:pPr>
        <w:pStyle w:val="Compact"/>
        <w:numPr>
          <w:ilvl w:val="0"/>
          <w:numId w:val="1032"/>
        </w:numPr>
      </w:pPr>
      <w:r>
        <w:t xml:space="preserve">observable where operationally relevant</w:t>
      </w:r>
    </w:p>
    <w:p>
      <w:pPr>
        <w:pStyle w:val="Compact"/>
        <w:numPr>
          <w:ilvl w:val="0"/>
          <w:numId w:val="1032"/>
        </w:numPr>
      </w:pPr>
      <w:r>
        <w:t xml:space="preserve">isolated where practical</w:t>
      </w:r>
    </w:p>
    <w:p>
      <w:pPr>
        <w:pStyle w:val="FirstParagraph"/>
      </w:pPr>
      <w:r>
        <w:t xml:space="preserve">The system shall avoid cascading failures.</w:t>
      </w:r>
    </w:p>
    <w:p>
      <w:pPr>
        <w:pStyle w:val="BodyText"/>
      </w:pPr>
      <w:r>
        <w:t xml:space="preserve">Critical failures shall support controlled shutdown.</w:t>
      </w:r>
    </w:p>
    <w:p>
      <w:pPr>
        <w:pStyle w:val="BodyText"/>
      </w:pPr>
      <w:r>
        <w:t xml:space="preserve">User-facing errors shall explain the operational impact without exposing internal implementation details unnecessarily.</w:t>
      </w:r>
    </w:p>
    <w:p>
      <w:r>
        <w:pict>
          <v:rect style="width:0;height:1.5pt" o:hralign="center" o:hrstd="t" o:hr="t"/>
        </w:pict>
      </w:r>
    </w:p>
    <w:bookmarkEnd w:id="32"/>
    <w:bookmarkStart w:id="33" w:name="security-requirements"/>
    <w:p>
      <w:pPr>
        <w:pStyle w:val="Heading1"/>
      </w:pPr>
      <w:r>
        <w:t xml:space="preserve">Security Requirements</w:t>
      </w:r>
    </w:p>
    <w:p>
      <w:pPr>
        <w:pStyle w:val="FirstParagraph"/>
      </w:pPr>
      <w:r>
        <w:t xml:space="preserve">The system shall:</w:t>
      </w:r>
    </w:p>
    <w:p>
      <w:pPr>
        <w:pStyle w:val="Compact"/>
        <w:numPr>
          <w:ilvl w:val="0"/>
          <w:numId w:val="1033"/>
        </w:numPr>
      </w:pPr>
      <w:r>
        <w:t xml:space="preserve">keep secrets outside source control</w:t>
      </w:r>
    </w:p>
    <w:p>
      <w:pPr>
        <w:pStyle w:val="Compact"/>
        <w:numPr>
          <w:ilvl w:val="0"/>
          <w:numId w:val="1033"/>
        </w:numPr>
      </w:pPr>
      <w:r>
        <w:t xml:space="preserve">validate external input</w:t>
      </w:r>
    </w:p>
    <w:p>
      <w:pPr>
        <w:pStyle w:val="Compact"/>
        <w:numPr>
          <w:ilvl w:val="0"/>
          <w:numId w:val="1033"/>
        </w:numPr>
      </w:pPr>
      <w:r>
        <w:t xml:space="preserve">isolate external integrations</w:t>
      </w:r>
    </w:p>
    <w:p>
      <w:pPr>
        <w:pStyle w:val="Compact"/>
        <w:numPr>
          <w:ilvl w:val="0"/>
          <w:numId w:val="1033"/>
        </w:numPr>
      </w:pPr>
      <w:r>
        <w:t xml:space="preserve">use least-privilege principles where practical</w:t>
      </w:r>
    </w:p>
    <w:p>
      <w:pPr>
        <w:pStyle w:val="Compact"/>
        <w:numPr>
          <w:ilvl w:val="0"/>
          <w:numId w:val="1033"/>
        </w:numPr>
      </w:pPr>
      <w:r>
        <w:t xml:space="preserve">avoid logging sensitive information</w:t>
      </w:r>
    </w:p>
    <w:p>
      <w:pPr>
        <w:pStyle w:val="Compact"/>
        <w:numPr>
          <w:ilvl w:val="0"/>
          <w:numId w:val="1033"/>
        </w:numPr>
      </w:pPr>
      <w:r>
        <w:t xml:space="preserve">protect broker credentials</w:t>
      </w:r>
    </w:p>
    <w:p>
      <w:pPr>
        <w:pStyle w:val="FirstParagraph"/>
      </w:pPr>
      <w:r>
        <w:t xml:space="preserve">Security-relevant changes shall be reviewed explicitly.</w:t>
      </w:r>
    </w:p>
    <w:p>
      <w:r>
        <w:pict>
          <v:rect style="width:0;height:1.5pt" o:hralign="center" o:hrstd="t" o:hr="t"/>
        </w:pict>
      </w:r>
    </w:p>
    <w:bookmarkEnd w:id="33"/>
    <w:bookmarkStart w:id="34" w:name="quality-requirements"/>
    <w:p>
      <w:pPr>
        <w:pStyle w:val="Heading1"/>
      </w:pPr>
      <w:r>
        <w:t xml:space="preserve">Quality Requirements</w:t>
      </w:r>
    </w:p>
    <w:p>
      <w:pPr>
        <w:pStyle w:val="FirstParagraph"/>
      </w:pPr>
      <w:r>
        <w:t xml:space="preserve">Production code shall provide:</w:t>
      </w:r>
    </w:p>
    <w:p>
      <w:pPr>
        <w:pStyle w:val="Compact"/>
        <w:numPr>
          <w:ilvl w:val="0"/>
          <w:numId w:val="1034"/>
        </w:numPr>
      </w:pPr>
      <w:r>
        <w:t xml:space="preserve">full type hints</w:t>
      </w:r>
    </w:p>
    <w:p>
      <w:pPr>
        <w:pStyle w:val="Compact"/>
        <w:numPr>
          <w:ilvl w:val="0"/>
          <w:numId w:val="1034"/>
        </w:numPr>
      </w:pPr>
      <w:r>
        <w:t xml:space="preserve">Ruff compliance</w:t>
      </w:r>
    </w:p>
    <w:p>
      <w:pPr>
        <w:pStyle w:val="Compact"/>
        <w:numPr>
          <w:ilvl w:val="0"/>
          <w:numId w:val="1034"/>
        </w:numPr>
      </w:pPr>
      <w:r>
        <w:t xml:space="preserve">automated tests</w:t>
      </w:r>
    </w:p>
    <w:p>
      <w:pPr>
        <w:pStyle w:val="Compact"/>
        <w:numPr>
          <w:ilvl w:val="0"/>
          <w:numId w:val="1034"/>
        </w:numPr>
      </w:pPr>
      <w:r>
        <w:t xml:space="preserve">deterministic tests</w:t>
      </w:r>
    </w:p>
    <w:p>
      <w:pPr>
        <w:pStyle w:val="Compact"/>
        <w:numPr>
          <w:ilvl w:val="0"/>
          <w:numId w:val="1034"/>
        </w:numPr>
      </w:pPr>
      <w:r>
        <w:t xml:space="preserve">documented public interfaces</w:t>
      </w:r>
    </w:p>
    <w:p>
      <w:pPr>
        <w:pStyle w:val="Compact"/>
        <w:numPr>
          <w:ilvl w:val="0"/>
          <w:numId w:val="1034"/>
        </w:numPr>
      </w:pPr>
      <w:r>
        <w:t xml:space="preserve">explicit error handling</w:t>
      </w:r>
    </w:p>
    <w:p>
      <w:pPr>
        <w:pStyle w:val="Compact"/>
        <w:numPr>
          <w:ilvl w:val="0"/>
          <w:numId w:val="1034"/>
        </w:numPr>
      </w:pPr>
      <w:r>
        <w:t xml:space="preserve">maintainable structure</w:t>
      </w:r>
    </w:p>
    <w:p>
      <w:pPr>
        <w:pStyle w:val="FirstParagraph"/>
      </w:pPr>
      <w:r>
        <w:t xml:space="preserve">Critical trading workflows require automated test coverage.</w:t>
      </w:r>
    </w:p>
    <w:p>
      <w:pPr>
        <w:pStyle w:val="BodyText"/>
      </w:pPr>
      <w:r>
        <w:t xml:space="preserve">Regression tests shall be added for corrected critical defects.</w:t>
      </w:r>
    </w:p>
    <w:p>
      <w:r>
        <w:pict>
          <v:rect style="width:0;height:1.5pt" o:hralign="center" o:hrstd="t" o:hr="t"/>
        </w:pict>
      </w:r>
    </w:p>
    <w:bookmarkEnd w:id="34"/>
    <w:bookmarkStart w:id="35" w:name="testing-requirements"/>
    <w:p>
      <w:pPr>
        <w:pStyle w:val="Heading1"/>
      </w:pPr>
      <w:r>
        <w:t xml:space="preserve">Testing Requirements</w:t>
      </w:r>
    </w:p>
    <w:p>
      <w:pPr>
        <w:pStyle w:val="FirstParagraph"/>
      </w:pPr>
      <w:r>
        <w:t xml:space="preserve">Testing shall include:</w:t>
      </w:r>
    </w:p>
    <w:p>
      <w:pPr>
        <w:pStyle w:val="Compact"/>
        <w:numPr>
          <w:ilvl w:val="0"/>
          <w:numId w:val="1035"/>
        </w:numPr>
      </w:pPr>
      <w:r>
        <w:t xml:space="preserve">unit tests</w:t>
      </w:r>
    </w:p>
    <w:p>
      <w:pPr>
        <w:pStyle w:val="Compact"/>
        <w:numPr>
          <w:ilvl w:val="0"/>
          <w:numId w:val="1035"/>
        </w:numPr>
      </w:pPr>
      <w:r>
        <w:t xml:space="preserve">integration tests</w:t>
      </w:r>
    </w:p>
    <w:p>
      <w:pPr>
        <w:pStyle w:val="Compact"/>
        <w:numPr>
          <w:ilvl w:val="0"/>
          <w:numId w:val="1035"/>
        </w:numPr>
      </w:pPr>
      <w:r>
        <w:t xml:space="preserve">presentation logic tests where practical</w:t>
      </w:r>
    </w:p>
    <w:p>
      <w:pPr>
        <w:pStyle w:val="Compact"/>
        <w:numPr>
          <w:ilvl w:val="0"/>
          <w:numId w:val="1035"/>
        </w:numPr>
      </w:pPr>
      <w:r>
        <w:t xml:space="preserve">broker adapter tests</w:t>
      </w:r>
    </w:p>
    <w:p>
      <w:pPr>
        <w:pStyle w:val="Compact"/>
        <w:numPr>
          <w:ilvl w:val="0"/>
          <w:numId w:val="1035"/>
        </w:numPr>
      </w:pPr>
      <w:r>
        <w:t xml:space="preserve">persistence tests</w:t>
      </w:r>
    </w:p>
    <w:p>
      <w:pPr>
        <w:pStyle w:val="Compact"/>
        <w:numPr>
          <w:ilvl w:val="0"/>
          <w:numId w:val="1035"/>
        </w:numPr>
      </w:pPr>
      <w:r>
        <w:t xml:space="preserve">runtime lifecycle tests</w:t>
      </w:r>
    </w:p>
    <w:p>
      <w:pPr>
        <w:pStyle w:val="FirstParagraph"/>
      </w:pPr>
      <w:r>
        <w:t xml:space="preserve">Trading-related workflows shall be validated in PAPER mode before LIVE use.</w:t>
      </w:r>
    </w:p>
    <w:p>
      <w:pPr>
        <w:pStyle w:val="BodyText"/>
      </w:pPr>
      <w:r>
        <w:t xml:space="preserve">LIVE validation requires explicit approval.</w:t>
      </w:r>
    </w:p>
    <w:p>
      <w:r>
        <w:pict>
          <v:rect style="width:0;height:1.5pt" o:hralign="center" o:hrstd="t" o:hr="t"/>
        </w:pict>
      </w:r>
    </w:p>
    <w:bookmarkEnd w:id="35"/>
    <w:bookmarkStart w:id="36" w:name="documentation-requirements"/>
    <w:p>
      <w:pPr>
        <w:pStyle w:val="Heading1"/>
      </w:pPr>
      <w:r>
        <w:t xml:space="preserve">Documentation Requirements</w:t>
      </w:r>
    </w:p>
    <w:p>
      <w:pPr>
        <w:pStyle w:val="FirstParagraph"/>
      </w:pPr>
      <w:r>
        <w:t xml:space="preserve">Markdown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is the documentation source of truth.</w:t>
      </w:r>
    </w:p>
    <w:p>
      <w:pPr>
        <w:pStyle w:val="BodyText"/>
      </w:pPr>
      <w:r>
        <w:t xml:space="preserve">Generated formats:</w:t>
      </w:r>
    </w:p>
    <w:p>
      <w:pPr>
        <w:pStyle w:val="Compact"/>
        <w:numPr>
          <w:ilvl w:val="0"/>
          <w:numId w:val="1036"/>
        </w:numPr>
      </w:pPr>
      <w:r>
        <w:t xml:space="preserve">DOCX</w:t>
      </w:r>
    </w:p>
    <w:p>
      <w:pPr>
        <w:pStyle w:val="Compact"/>
        <w:numPr>
          <w:ilvl w:val="0"/>
          <w:numId w:val="1036"/>
        </w:numPr>
      </w:pPr>
      <w:r>
        <w:t xml:space="preserve">PDF</w:t>
      </w:r>
    </w:p>
    <w:p>
      <w:pPr>
        <w:pStyle w:val="FirstParagraph"/>
      </w:pPr>
      <w:r>
        <w:t xml:space="preserve">Generated documents shall be produced through the documentation generation pipeline.</w:t>
      </w:r>
    </w:p>
    <w:p>
      <w:pPr>
        <w:pStyle w:val="BodyText"/>
      </w:pPr>
      <w:r>
        <w:t xml:space="preserve">Documentation shall remain synchronized with:</w:t>
      </w:r>
    </w:p>
    <w:p>
      <w:pPr>
        <w:pStyle w:val="Compact"/>
        <w:numPr>
          <w:ilvl w:val="0"/>
          <w:numId w:val="1037"/>
        </w:numPr>
      </w:pPr>
      <w:r>
        <w:t xml:space="preserve">product behaviour</w:t>
      </w:r>
    </w:p>
    <w:p>
      <w:pPr>
        <w:pStyle w:val="Compact"/>
        <w:numPr>
          <w:ilvl w:val="0"/>
          <w:numId w:val="1037"/>
        </w:numPr>
      </w:pPr>
      <w:r>
        <w:t xml:space="preserve">architecture</w:t>
      </w:r>
    </w:p>
    <w:p>
      <w:pPr>
        <w:pStyle w:val="Compact"/>
        <w:numPr>
          <w:ilvl w:val="0"/>
          <w:numId w:val="1037"/>
        </w:numPr>
      </w:pPr>
      <w:r>
        <w:t xml:space="preserve">public APIs</w:t>
      </w:r>
    </w:p>
    <w:p>
      <w:pPr>
        <w:pStyle w:val="Compact"/>
        <w:numPr>
          <w:ilvl w:val="0"/>
          <w:numId w:val="1037"/>
        </w:numPr>
      </w:pPr>
      <w:r>
        <w:t xml:space="preserve">operational workflows</w:t>
      </w:r>
    </w:p>
    <w:p>
      <w:r>
        <w:pict>
          <v:rect style="width:0;height:1.5pt" o:hralign="center" o:hrstd="t" o:hr="t"/>
        </w:pict>
      </w:r>
    </w:p>
    <w:bookmarkEnd w:id="36"/>
    <w:bookmarkStart w:id="37" w:name="technical-evolution-principles"/>
    <w:p>
      <w:pPr>
        <w:pStyle w:val="Heading1"/>
      </w:pPr>
      <w:r>
        <w:t xml:space="preserve">Technical Evolution Principles</w:t>
      </w:r>
    </w:p>
    <w:p>
      <w:pPr>
        <w:pStyle w:val="FirstParagraph"/>
      </w:pPr>
      <w:r>
        <w:t xml:space="preserve">New technical capabilities shall:</w:t>
      </w:r>
    </w:p>
    <w:p>
      <w:pPr>
        <w:pStyle w:val="Compact"/>
        <w:numPr>
          <w:ilvl w:val="0"/>
          <w:numId w:val="1038"/>
        </w:numPr>
      </w:pPr>
      <w:r>
        <w:t xml:space="preserve">support a defined product workflow</w:t>
      </w:r>
    </w:p>
    <w:p>
      <w:pPr>
        <w:pStyle w:val="Compact"/>
        <w:numPr>
          <w:ilvl w:val="0"/>
          <w:numId w:val="1038"/>
        </w:numPr>
      </w:pPr>
      <w:r>
        <w:t xml:space="preserve">preserve architecture boundaries</w:t>
      </w:r>
    </w:p>
    <w:p>
      <w:pPr>
        <w:pStyle w:val="Compact"/>
        <w:numPr>
          <w:ilvl w:val="0"/>
          <w:numId w:val="1038"/>
        </w:numPr>
      </w:pPr>
      <w:r>
        <w:t xml:space="preserve">avoid premature generalization</w:t>
      </w:r>
    </w:p>
    <w:p>
      <w:pPr>
        <w:pStyle w:val="Compact"/>
        <w:numPr>
          <w:ilvl w:val="0"/>
          <w:numId w:val="1038"/>
        </w:numPr>
      </w:pPr>
      <w:r>
        <w:t xml:space="preserve">remain testable</w:t>
      </w:r>
    </w:p>
    <w:p>
      <w:pPr>
        <w:pStyle w:val="Compact"/>
        <w:numPr>
          <w:ilvl w:val="0"/>
          <w:numId w:val="1038"/>
        </w:numPr>
      </w:pPr>
      <w:r>
        <w:t xml:space="preserve">remain observable</w:t>
      </w:r>
    </w:p>
    <w:p>
      <w:pPr>
        <w:pStyle w:val="Compact"/>
        <w:numPr>
          <w:ilvl w:val="0"/>
          <w:numId w:val="1038"/>
        </w:numPr>
      </w:pPr>
      <w:r>
        <w:t xml:space="preserve">remain documented</w:t>
      </w:r>
    </w:p>
    <w:p>
      <w:pPr>
        <w:pStyle w:val="FirstParagraph"/>
      </w:pPr>
      <w:r>
        <w:t xml:space="preserve">Prefer vertical product slices over isolated infrastructure expansion.</w:t>
      </w:r>
    </w:p>
    <w:p>
      <w:r>
        <w:pict>
          <v:rect style="width:0;height:1.5pt" o:hralign="center" o:hrstd="t" o:hr="t"/>
        </w:pict>
      </w:r>
    </w:p>
    <w:bookmarkEnd w:id="37"/>
    <w:bookmarkStart w:id="38" w:name="technical-review-checklist"/>
    <w:p>
      <w:pPr>
        <w:pStyle w:val="Heading1"/>
      </w:pPr>
      <w:r>
        <w:t xml:space="preserve">Technical Review Checklist</w:t>
      </w:r>
    </w:p>
    <w:p>
      <w:pPr>
        <w:pStyle w:val="FirstParagraph"/>
      </w:pPr>
      <w:r>
        <w:t xml:space="preserve">Before releasing technical changes verify:</w:t>
      </w:r>
    </w:p>
    <w:p>
      <w:pPr>
        <w:pStyle w:val="Compact"/>
        <w:numPr>
          <w:ilvl w:val="0"/>
          <w:numId w:val="1039"/>
        </w:numPr>
      </w:pPr>
      <w:r>
        <w:t xml:space="preserve">product workflow identified</w:t>
      </w:r>
    </w:p>
    <w:p>
      <w:pPr>
        <w:pStyle w:val="Compact"/>
        <w:numPr>
          <w:ilvl w:val="0"/>
          <w:numId w:val="1039"/>
        </w:numPr>
      </w:pPr>
      <w:r>
        <w:t xml:space="preserve">architecture boundaries preserved</w:t>
      </w:r>
    </w:p>
    <w:p>
      <w:pPr>
        <w:pStyle w:val="Compact"/>
        <w:numPr>
          <w:ilvl w:val="0"/>
          <w:numId w:val="1039"/>
        </w:numPr>
      </w:pPr>
      <w:r>
        <w:t xml:space="preserve">UI thread remains responsive</w:t>
      </w:r>
    </w:p>
    <w:p>
      <w:pPr>
        <w:pStyle w:val="Compact"/>
        <w:numPr>
          <w:ilvl w:val="0"/>
          <w:numId w:val="1039"/>
        </w:numPr>
      </w:pPr>
      <w:r>
        <w:t xml:space="preserve">async boundaries are explicit</w:t>
      </w:r>
    </w:p>
    <w:p>
      <w:pPr>
        <w:pStyle w:val="Compact"/>
        <w:numPr>
          <w:ilvl w:val="0"/>
          <w:numId w:val="1039"/>
        </w:numPr>
      </w:pPr>
      <w:r>
        <w:t xml:space="preserve">external state is observable</w:t>
      </w:r>
    </w:p>
    <w:p>
      <w:pPr>
        <w:pStyle w:val="Compact"/>
        <w:numPr>
          <w:ilvl w:val="0"/>
          <w:numId w:val="1039"/>
        </w:numPr>
      </w:pPr>
      <w:r>
        <w:t xml:space="preserve">error handling is defined</w:t>
      </w:r>
    </w:p>
    <w:p>
      <w:pPr>
        <w:pStyle w:val="Compact"/>
        <w:numPr>
          <w:ilvl w:val="0"/>
          <w:numId w:val="1039"/>
        </w:numPr>
      </w:pPr>
      <w:r>
        <w:t xml:space="preserve">automated tests added</w:t>
      </w:r>
    </w:p>
    <w:p>
      <w:pPr>
        <w:pStyle w:val="Compact"/>
        <w:numPr>
          <w:ilvl w:val="0"/>
          <w:numId w:val="1039"/>
        </w:numPr>
      </w:pPr>
      <w:r>
        <w:t xml:space="preserve">documentation updated</w:t>
      </w:r>
    </w:p>
    <w:p>
      <w:pPr>
        <w:pStyle w:val="Compact"/>
        <w:numPr>
          <w:ilvl w:val="0"/>
          <w:numId w:val="1039"/>
        </w:numPr>
      </w:pPr>
      <w:r>
        <w:t xml:space="preserve">LIVE trading impact evaluated where applicable</w:t>
      </w:r>
    </w:p>
    <w:p>
      <w:r>
        <w:pict>
          <v:rect style="width:0;height:1.5pt" o:hralign="center" o:hrstd="t" o:hr="t"/>
        </w:pict>
      </w:r>
    </w:p>
    <w:bookmarkEnd w:id="38"/>
    <w:bookmarkStart w:id="39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40"/>
        </w:numPr>
      </w:pPr>
      <w:r>
        <w:t xml:space="preserve">Product_Vision.md</w:t>
      </w:r>
    </w:p>
    <w:p>
      <w:pPr>
        <w:pStyle w:val="Compact"/>
        <w:numPr>
          <w:ilvl w:val="0"/>
          <w:numId w:val="1040"/>
        </w:numPr>
      </w:pPr>
      <w:r>
        <w:t xml:space="preserve">Product_Roadmap.md</w:t>
      </w:r>
    </w:p>
    <w:p>
      <w:pPr>
        <w:pStyle w:val="Compact"/>
        <w:numPr>
          <w:ilvl w:val="0"/>
          <w:numId w:val="1040"/>
        </w:numPr>
      </w:pPr>
      <w:r>
        <w:t xml:space="preserve">Project_Overview.md</w:t>
      </w:r>
    </w:p>
    <w:p>
      <w:pPr>
        <w:pStyle w:val="Compact"/>
        <w:numPr>
          <w:ilvl w:val="0"/>
          <w:numId w:val="1040"/>
        </w:numPr>
      </w:pPr>
      <w:r>
        <w:t xml:space="preserve">Architecture.md</w:t>
      </w:r>
    </w:p>
    <w:p>
      <w:pPr>
        <w:pStyle w:val="Compact"/>
        <w:numPr>
          <w:ilvl w:val="0"/>
          <w:numId w:val="1040"/>
        </w:numPr>
      </w:pPr>
      <w:r>
        <w:t xml:space="preserve">Domain_Model.md</w:t>
      </w:r>
    </w:p>
    <w:p>
      <w:pPr>
        <w:pStyle w:val="Compact"/>
        <w:numPr>
          <w:ilvl w:val="0"/>
          <w:numId w:val="1040"/>
        </w:numPr>
      </w:pPr>
      <w:r>
        <w:t xml:space="preserve">Infrastructure.md</w:t>
      </w:r>
    </w:p>
    <w:p>
      <w:pPr>
        <w:pStyle w:val="Compact"/>
        <w:numPr>
          <w:ilvl w:val="0"/>
          <w:numId w:val="1040"/>
        </w:numPr>
      </w:pPr>
      <w:r>
        <w:t xml:space="preserve">Widget_Catalog.md</w:t>
      </w:r>
    </w:p>
    <w:p>
      <w:pPr>
        <w:pStyle w:val="Compact"/>
        <w:numPr>
          <w:ilvl w:val="0"/>
          <w:numId w:val="1040"/>
        </w:numPr>
      </w:pPr>
      <w:r>
        <w:t xml:space="preserve">UI_Guidelines.md</w:t>
      </w:r>
    </w:p>
    <w:p>
      <w:pPr>
        <w:pStyle w:val="Compact"/>
        <w:numPr>
          <w:ilvl w:val="0"/>
          <w:numId w:val="1040"/>
        </w:numPr>
      </w:pPr>
      <w:r>
        <w:t xml:space="preserve">Configuration.md</w:t>
      </w:r>
    </w:p>
    <w:p>
      <w:pPr>
        <w:pStyle w:val="Compact"/>
        <w:numPr>
          <w:ilvl w:val="0"/>
          <w:numId w:val="1040"/>
        </w:numPr>
      </w:pPr>
      <w:r>
        <w:t xml:space="preserve">Runtime.md</w:t>
      </w:r>
    </w:p>
    <w:p>
      <w:pPr>
        <w:pStyle w:val="Compact"/>
        <w:numPr>
          <w:ilvl w:val="0"/>
          <w:numId w:val="1040"/>
        </w:numPr>
      </w:pPr>
      <w:r>
        <w:t xml:space="preserve">Logging.md</w:t>
      </w:r>
    </w:p>
    <w:p>
      <w:pPr>
        <w:pStyle w:val="Compact"/>
        <w:numPr>
          <w:ilvl w:val="0"/>
          <w:numId w:val="1040"/>
        </w:numPr>
      </w:pPr>
      <w:r>
        <w:t xml:space="preserve">Monitoring.md</w:t>
      </w:r>
    </w:p>
    <w:p>
      <w:pPr>
        <w:pStyle w:val="Compact"/>
        <w:numPr>
          <w:ilvl w:val="0"/>
          <w:numId w:val="1040"/>
        </w:numPr>
      </w:pPr>
      <w:r>
        <w:t xml:space="preserve">Testing_Strategy.md</w:t>
      </w:r>
    </w:p>
    <w:p>
      <w:pPr>
        <w:pStyle w:val="Compact"/>
        <w:numPr>
          <w:ilvl w:val="0"/>
          <w:numId w:val="1040"/>
        </w:numPr>
      </w:pPr>
      <w:r>
        <w:t xml:space="preserve">Coding_Standards.md</w:t>
      </w:r>
    </w:p>
    <w:p>
      <w:pPr>
        <w:pStyle w:val="Compact"/>
        <w:numPr>
          <w:ilvl w:val="0"/>
          <w:numId w:val="1040"/>
        </w:numPr>
      </w:pPr>
      <w:r>
        <w:t xml:space="preserve">AGENTS.md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2026-07-06T08:18:54Z</dcterms:created>
  <dcterms:modified xsi:type="dcterms:W3CDTF">2026-07-06T08:18:54Z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