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i-guidelines"/>
    <w:p>
      <w:pPr>
        <w:pStyle w:val="Heading1"/>
      </w:pPr>
      <w:r>
        <w:t xml:space="preserve">UI Guidelines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user interface and interaction guidelines for the Trading Cockpit.</w:t>
      </w:r>
    </w:p>
    <w:p>
      <w:pPr>
        <w:pStyle w:val="BodyText"/>
      </w:pPr>
      <w:r>
        <w:t xml:space="preserve">The UI shall support professional trading workflows through:</w:t>
      </w:r>
    </w:p>
    <w:p>
      <w:pPr>
        <w:pStyle w:val="Compact"/>
        <w:numPr>
          <w:ilvl w:val="0"/>
          <w:numId w:val="1001"/>
        </w:numPr>
      </w:pPr>
      <w:r>
        <w:t xml:space="preserve">clarity</w:t>
      </w:r>
    </w:p>
    <w:p>
      <w:pPr>
        <w:pStyle w:val="Compact"/>
        <w:numPr>
          <w:ilvl w:val="0"/>
          <w:numId w:val="1001"/>
        </w:numPr>
      </w:pPr>
      <w:r>
        <w:t xml:space="preserve">operational transparency</w:t>
      </w:r>
    </w:p>
    <w:p>
      <w:pPr>
        <w:pStyle w:val="Compact"/>
        <w:numPr>
          <w:ilvl w:val="0"/>
          <w:numId w:val="1001"/>
        </w:numPr>
      </w:pPr>
      <w:r>
        <w:t xml:space="preserve">efficient interaction</w:t>
      </w:r>
    </w:p>
    <w:p>
      <w:pPr>
        <w:pStyle w:val="Compact"/>
        <w:numPr>
          <w:ilvl w:val="0"/>
          <w:numId w:val="1001"/>
        </w:numPr>
      </w:pPr>
      <w:r>
        <w:t xml:space="preserve">high information density</w:t>
      </w:r>
    </w:p>
    <w:p>
      <w:pPr>
        <w:pStyle w:val="Compact"/>
        <w:numPr>
          <w:ilvl w:val="0"/>
          <w:numId w:val="1001"/>
        </w:numPr>
      </w:pPr>
      <w:r>
        <w:t xml:space="preserve">preserved user context</w:t>
      </w:r>
    </w:p>
    <w:p>
      <w:pPr>
        <w:pStyle w:val="Compact"/>
        <w:numPr>
          <w:ilvl w:val="0"/>
          <w:numId w:val="1001"/>
        </w:numPr>
      </w:pPr>
      <w:r>
        <w:t xml:space="preserve">predictable behaviour</w:t>
      </w:r>
    </w:p>
    <w:p>
      <w:pPr>
        <w:pStyle w:val="FirstParagraph"/>
      </w:pPr>
      <w:r>
        <w:t xml:space="preserve">The Trading Cockpit is a professional desktop workspace.</w:t>
      </w:r>
    </w:p>
    <w:p>
      <w:pPr>
        <w:pStyle w:val="BodyText"/>
      </w:pPr>
      <w:r>
        <w:t xml:space="preserve">The UI shall prioritize trading workflow efficiency over decorative presentation.</w:t>
      </w:r>
    </w:p>
    <w:p>
      <w:r>
        <w:pict>
          <v:rect style="width:0;height:1.5pt" o:hralign="center" o:hrstd="t" o:hr="t"/>
        </w:pict>
      </w:r>
    </w:p>
    <w:bookmarkEnd w:id="10"/>
    <w:bookmarkStart w:id="11" w:name="ui-design-principles"/>
    <w:p>
      <w:pPr>
        <w:pStyle w:val="Heading1"/>
      </w:pPr>
      <w:r>
        <w:t xml:space="preserve">UI Design Principles</w:t>
      </w:r>
    </w:p>
    <w:p>
      <w:pPr>
        <w:pStyle w:val="FirstParagraph"/>
      </w:pPr>
      <w:r>
        <w:t xml:space="preserve">The Trading Cockpit follows these principles:</w:t>
      </w:r>
    </w:p>
    <w:p>
      <w:pPr>
        <w:pStyle w:val="Compact"/>
        <w:numPr>
          <w:ilvl w:val="0"/>
          <w:numId w:val="1002"/>
        </w:numPr>
      </w:pPr>
      <w:r>
        <w:t xml:space="preserve">Consistency</w:t>
      </w:r>
    </w:p>
    <w:p>
      <w:pPr>
        <w:pStyle w:val="Compact"/>
        <w:numPr>
          <w:ilvl w:val="0"/>
          <w:numId w:val="1002"/>
        </w:numPr>
      </w:pPr>
      <w:r>
        <w:t xml:space="preserve">Clarity</w:t>
      </w:r>
    </w:p>
    <w:p>
      <w:pPr>
        <w:pStyle w:val="Compact"/>
        <w:numPr>
          <w:ilvl w:val="0"/>
          <w:numId w:val="1002"/>
        </w:numPr>
      </w:pPr>
      <w:r>
        <w:t xml:space="preserve">Efficiency</w:t>
      </w:r>
    </w:p>
    <w:p>
      <w:pPr>
        <w:pStyle w:val="Compact"/>
        <w:numPr>
          <w:ilvl w:val="0"/>
          <w:numId w:val="1002"/>
        </w:numPr>
      </w:pPr>
      <w:r>
        <w:t xml:space="preserve">Transparency</w:t>
      </w:r>
    </w:p>
    <w:p>
      <w:pPr>
        <w:pStyle w:val="Compact"/>
        <w:numPr>
          <w:ilvl w:val="0"/>
          <w:numId w:val="1002"/>
        </w:numPr>
      </w:pPr>
      <w:r>
        <w:t xml:space="preserve">Predictability</w:t>
      </w:r>
    </w:p>
    <w:p>
      <w:pPr>
        <w:pStyle w:val="Compact"/>
        <w:numPr>
          <w:ilvl w:val="0"/>
          <w:numId w:val="1002"/>
        </w:numPr>
      </w:pPr>
      <w:r>
        <w:t xml:space="preserve">Responsiveness</w:t>
      </w:r>
    </w:p>
    <w:p>
      <w:pPr>
        <w:pStyle w:val="Compact"/>
        <w:numPr>
          <w:ilvl w:val="0"/>
          <w:numId w:val="1002"/>
        </w:numPr>
      </w:pPr>
      <w:r>
        <w:t xml:space="preserve">Accessibility</w:t>
      </w:r>
    </w:p>
    <w:p>
      <w:pPr>
        <w:pStyle w:val="Compact"/>
        <w:numPr>
          <w:ilvl w:val="0"/>
          <w:numId w:val="1002"/>
        </w:numPr>
      </w:pPr>
      <w:r>
        <w:t xml:space="preserve">Context Preservation</w:t>
      </w:r>
    </w:p>
    <w:p>
      <w:pPr>
        <w:pStyle w:val="FirstParagraph"/>
      </w:pPr>
      <w:r>
        <w:t xml:space="preserve">Every UI element shall support a defined user workflow.</w:t>
      </w:r>
    </w:p>
    <w:p>
      <w:pPr>
        <w:pStyle w:val="BodyText"/>
      </w:pPr>
      <w:r>
        <w:t xml:space="preserve">Avoid visual or interactive complexity without measurable user value.</w:t>
      </w:r>
    </w:p>
    <w:p>
      <w:r>
        <w:pict>
          <v:rect style="width:0;height:1.5pt" o:hralign="center" o:hrstd="t" o:hr="t"/>
        </w:pict>
      </w:r>
    </w:p>
    <w:bookmarkEnd w:id="11"/>
    <w:bookmarkStart w:id="12" w:name="trading-workflow-orientation"/>
    <w:p>
      <w:pPr>
        <w:pStyle w:val="Heading1"/>
      </w:pPr>
      <w:r>
        <w:t xml:space="preserve">Trading Workflow Orientation</w:t>
      </w:r>
    </w:p>
    <w:p>
      <w:pPr>
        <w:pStyle w:val="FirstParagraph"/>
      </w:pPr>
      <w:r>
        <w:t xml:space="preserve">The UI shall support the primary trading workflow:</w:t>
      </w:r>
    </w:p>
    <w:p>
      <w:pPr>
        <w:pStyle w:val="Compact"/>
        <w:numPr>
          <w:ilvl w:val="0"/>
          <w:numId w:val="1003"/>
        </w:numPr>
      </w:pPr>
      <w:r>
        <w:t xml:space="preserve">Observe the market.</w:t>
      </w:r>
    </w:p>
    <w:p>
      <w:pPr>
        <w:pStyle w:val="Compact"/>
        <w:numPr>
          <w:ilvl w:val="0"/>
          <w:numId w:val="1003"/>
        </w:numPr>
      </w:pPr>
      <w:r>
        <w:t xml:space="preserve">Identify relevant instruments.</w:t>
      </w:r>
    </w:p>
    <w:p>
      <w:pPr>
        <w:pStyle w:val="Compact"/>
        <w:numPr>
          <w:ilvl w:val="0"/>
          <w:numId w:val="1003"/>
        </w:numPr>
      </w:pPr>
      <w:r>
        <w:t xml:space="preserve">Evaluate trading candidates.</w:t>
      </w:r>
    </w:p>
    <w:p>
      <w:pPr>
        <w:pStyle w:val="Compact"/>
        <w:numPr>
          <w:ilvl w:val="0"/>
          <w:numId w:val="1003"/>
        </w:numPr>
      </w:pPr>
      <w:r>
        <w:t xml:space="preserve">Review market, portfolio and risk context.</w:t>
      </w:r>
    </w:p>
    <w:p>
      <w:pPr>
        <w:pStyle w:val="Compact"/>
        <w:numPr>
          <w:ilvl w:val="0"/>
          <w:numId w:val="1003"/>
        </w:numPr>
      </w:pPr>
      <w:r>
        <w:t xml:space="preserve">Make a trading decision.</w:t>
      </w:r>
    </w:p>
    <w:p>
      <w:pPr>
        <w:pStyle w:val="Compact"/>
        <w:numPr>
          <w:ilvl w:val="0"/>
          <w:numId w:val="1003"/>
        </w:numPr>
      </w:pPr>
      <w:r>
        <w:t xml:space="preserve">Prepare and validate an order.</w:t>
      </w:r>
    </w:p>
    <w:p>
      <w:pPr>
        <w:pStyle w:val="Compact"/>
        <w:numPr>
          <w:ilvl w:val="0"/>
          <w:numId w:val="1003"/>
        </w:numPr>
      </w:pPr>
      <w:r>
        <w:t xml:space="preserve">Execute and monitor the order.</w:t>
      </w:r>
    </w:p>
    <w:p>
      <w:pPr>
        <w:pStyle w:val="Compact"/>
        <w:numPr>
          <w:ilvl w:val="0"/>
          <w:numId w:val="1003"/>
        </w:numPr>
      </w:pPr>
      <w:r>
        <w:t xml:space="preserve">Monitor the resulting position.</w:t>
      </w:r>
    </w:p>
    <w:p>
      <w:pPr>
        <w:pStyle w:val="Compact"/>
        <w:numPr>
          <w:ilvl w:val="0"/>
          <w:numId w:val="1003"/>
        </w:numPr>
      </w:pPr>
      <w:r>
        <w:t xml:space="preserve">Review the trading outcome.</w:t>
      </w:r>
    </w:p>
    <w:p>
      <w:pPr>
        <w:pStyle w:val="FirstParagraph"/>
      </w:pPr>
      <w:r>
        <w:t xml:space="preserve">Navigation and workspace behaviour shall minimize unnecessary context changes during this workflow.</w:t>
      </w:r>
    </w:p>
    <w:p>
      <w:r>
        <w:pict>
          <v:rect style="width:0;height:1.5pt" o:hralign="center" o:hrstd="t" o:hr="t"/>
        </w:pict>
      </w:r>
    </w:p>
    <w:bookmarkEnd w:id="12"/>
    <w:bookmarkStart w:id="13" w:name="main-application-layout"/>
    <w:p>
      <w:pPr>
        <w:pStyle w:val="Heading1"/>
      </w:pPr>
      <w:r>
        <w:t xml:space="preserve">Main Application Layout</w:t>
      </w:r>
    </w:p>
    <w:p>
      <w:pPr>
        <w:pStyle w:val="FirstParagraph"/>
      </w:pPr>
      <w:r>
        <w:t xml:space="preserve">The Trading Cockpit uses a configurable dockable workspace.</w:t>
      </w:r>
    </w:p>
    <w:p>
      <w:pPr>
        <w:pStyle w:val="BodyText"/>
      </w:pPr>
      <w:r>
        <w:t xml:space="preserve">Primary application areas:</w:t>
      </w:r>
    </w:p>
    <w:p>
      <w:pPr>
        <w:pStyle w:val="Compact"/>
        <w:numPr>
          <w:ilvl w:val="0"/>
          <w:numId w:val="1004"/>
        </w:numPr>
      </w:pPr>
      <w:r>
        <w:t xml:space="preserve">Application Navigation</w:t>
      </w:r>
    </w:p>
    <w:p>
      <w:pPr>
        <w:pStyle w:val="Compact"/>
        <w:numPr>
          <w:ilvl w:val="0"/>
          <w:numId w:val="1004"/>
        </w:numPr>
      </w:pPr>
      <w:r>
        <w:t xml:space="preserve">Workspace</w:t>
      </w:r>
    </w:p>
    <w:p>
      <w:pPr>
        <w:pStyle w:val="Compact"/>
        <w:numPr>
          <w:ilvl w:val="0"/>
          <w:numId w:val="1004"/>
        </w:numPr>
      </w:pPr>
      <w:r>
        <w:t xml:space="preserve">Status Bar</w:t>
      </w:r>
    </w:p>
    <w:p>
      <w:pPr>
        <w:pStyle w:val="Compact"/>
        <w:numPr>
          <w:ilvl w:val="0"/>
          <w:numId w:val="1004"/>
        </w:numPr>
      </w:pPr>
      <w:r>
        <w:t xml:space="preserve">Notification Area</w:t>
      </w:r>
    </w:p>
    <w:p>
      <w:pPr>
        <w:pStyle w:val="Compact"/>
        <w:numPr>
          <w:ilvl w:val="0"/>
          <w:numId w:val="1004"/>
        </w:numPr>
      </w:pPr>
      <w:r>
        <w:t xml:space="preserve">Command Palette</w:t>
      </w:r>
    </w:p>
    <w:p>
      <w:pPr>
        <w:pStyle w:val="FirstParagraph"/>
      </w:pPr>
      <w:r>
        <w:t xml:space="preserve">The workspace contains user-configurable widgets.</w:t>
      </w:r>
    </w:p>
    <w:p>
      <w:pPr>
        <w:pStyle w:val="BodyText"/>
      </w:pPr>
      <w:r>
        <w:t xml:space="preserve">The application shall not enforce one fixed trading layout.</w:t>
      </w:r>
    </w:p>
    <w:p>
      <w:r>
        <w:pict>
          <v:rect style="width:0;height:1.5pt" o:hralign="center" o:hrstd="t" o:hr="t"/>
        </w:pict>
      </w:r>
    </w:p>
    <w:bookmarkEnd w:id="13"/>
    <w:bookmarkStart w:id="14" w:name="workspace-design"/>
    <w:p>
      <w:pPr>
        <w:pStyle w:val="Heading1"/>
      </w:pPr>
      <w:r>
        <w:t xml:space="preserve">Workspace Design</w:t>
      </w:r>
    </w:p>
    <w:p>
      <w:pPr>
        <w:pStyle w:val="FirstParagraph"/>
      </w:pPr>
      <w:r>
        <w:t xml:space="preserve">The workspace is a core product capability.</w:t>
      </w:r>
    </w:p>
    <w:p>
      <w:pPr>
        <w:pStyle w:val="BodyText"/>
      </w:pPr>
      <w:r>
        <w:t xml:space="preserve">Users shall be able to:</w:t>
      </w:r>
    </w:p>
    <w:p>
      <w:pPr>
        <w:pStyle w:val="Compact"/>
        <w:numPr>
          <w:ilvl w:val="0"/>
          <w:numId w:val="1005"/>
        </w:numPr>
      </w:pPr>
      <w:r>
        <w:t xml:space="preserve">dock widgets</w:t>
      </w:r>
    </w:p>
    <w:p>
      <w:pPr>
        <w:pStyle w:val="Compact"/>
        <w:numPr>
          <w:ilvl w:val="0"/>
          <w:numId w:val="1005"/>
        </w:numPr>
      </w:pPr>
      <w:r>
        <w:t xml:space="preserve">resize widgets</w:t>
      </w:r>
    </w:p>
    <w:p>
      <w:pPr>
        <w:pStyle w:val="Compact"/>
        <w:numPr>
          <w:ilvl w:val="0"/>
          <w:numId w:val="1005"/>
        </w:numPr>
      </w:pPr>
      <w:r>
        <w:t xml:space="preserve">move widgets</w:t>
      </w:r>
    </w:p>
    <w:p>
      <w:pPr>
        <w:pStyle w:val="Compact"/>
        <w:numPr>
          <w:ilvl w:val="0"/>
          <w:numId w:val="1005"/>
        </w:numPr>
      </w:pPr>
      <w:r>
        <w:t xml:space="preserve">hide widgets</w:t>
      </w:r>
    </w:p>
    <w:p>
      <w:pPr>
        <w:pStyle w:val="Compact"/>
        <w:numPr>
          <w:ilvl w:val="0"/>
          <w:numId w:val="1005"/>
        </w:numPr>
      </w:pPr>
      <w:r>
        <w:t xml:space="preserve">restore widgets</w:t>
      </w:r>
    </w:p>
    <w:p>
      <w:pPr>
        <w:pStyle w:val="Compact"/>
        <w:numPr>
          <w:ilvl w:val="0"/>
          <w:numId w:val="1005"/>
        </w:numPr>
      </w:pPr>
      <w:r>
        <w:t xml:space="preserve">arrange workflow-specific layouts</w:t>
      </w:r>
    </w:p>
    <w:p>
      <w:pPr>
        <w:pStyle w:val="Compact"/>
        <w:numPr>
          <w:ilvl w:val="0"/>
          <w:numId w:val="1005"/>
        </w:numPr>
      </w:pPr>
      <w:r>
        <w:t xml:space="preserve">preserve workspace state</w:t>
      </w:r>
    </w:p>
    <w:p>
      <w:pPr>
        <w:pStyle w:val="Compact"/>
        <w:numPr>
          <w:ilvl w:val="0"/>
          <w:numId w:val="1005"/>
        </w:numPr>
      </w:pPr>
      <w:r>
        <w:t xml:space="preserve">restore the previous working context</w:t>
      </w:r>
    </w:p>
    <w:p>
      <w:pPr>
        <w:pStyle w:val="FirstParagraph"/>
      </w:pPr>
      <w:r>
        <w:t xml:space="preserve">Workspace interaction shall remain predictable.</w:t>
      </w:r>
    </w:p>
    <w:p>
      <w:pPr>
        <w:pStyle w:val="BodyText"/>
      </w:pPr>
      <w:r>
        <w:t xml:space="preserve">Invalid workspace state shall not prevent application startup.</w:t>
      </w:r>
    </w:p>
    <w:p>
      <w:r>
        <w:pict>
          <v:rect style="width:0;height:1.5pt" o:hralign="center" o:hrstd="t" o:hr="t"/>
        </w:pict>
      </w:r>
    </w:p>
    <w:bookmarkEnd w:id="14"/>
    <w:bookmarkStart w:id="15" w:name="widget-design"/>
    <w:p>
      <w:pPr>
        <w:pStyle w:val="Heading1"/>
      </w:pPr>
      <w:r>
        <w:t xml:space="preserve">Widget Design</w:t>
      </w:r>
    </w:p>
    <w:p>
      <w:pPr>
        <w:pStyle w:val="FirstParagraph"/>
      </w:pPr>
      <w:r>
        <w:t xml:space="preserve">Every widget shall:</w:t>
      </w:r>
    </w:p>
    <w:p>
      <w:pPr>
        <w:pStyle w:val="Compact"/>
        <w:numPr>
          <w:ilvl w:val="0"/>
          <w:numId w:val="1006"/>
        </w:numPr>
      </w:pPr>
      <w:r>
        <w:t xml:space="preserve">have a clear title</w:t>
      </w:r>
    </w:p>
    <w:p>
      <w:pPr>
        <w:pStyle w:val="Compact"/>
        <w:numPr>
          <w:ilvl w:val="0"/>
          <w:numId w:val="1006"/>
        </w:numPr>
      </w:pPr>
      <w:r>
        <w:t xml:space="preserve">have one primary responsibility</w:t>
      </w:r>
    </w:p>
    <w:p>
      <w:pPr>
        <w:pStyle w:val="Compact"/>
        <w:numPr>
          <w:ilvl w:val="0"/>
          <w:numId w:val="1006"/>
        </w:numPr>
      </w:pPr>
      <w:r>
        <w:t xml:space="preserve">identify its active context where relevant</w:t>
      </w:r>
    </w:p>
    <w:p>
      <w:pPr>
        <w:pStyle w:val="Compact"/>
        <w:numPr>
          <w:ilvl w:val="0"/>
          <w:numId w:val="1006"/>
        </w:numPr>
      </w:pPr>
      <w:r>
        <w:t xml:space="preserve">support resizing</w:t>
      </w:r>
    </w:p>
    <w:p>
      <w:pPr>
        <w:pStyle w:val="Compact"/>
        <w:numPr>
          <w:ilvl w:val="0"/>
          <w:numId w:val="1006"/>
        </w:numPr>
      </w:pPr>
      <w:r>
        <w:t xml:space="preserve">support docking</w:t>
      </w:r>
    </w:p>
    <w:p>
      <w:pPr>
        <w:pStyle w:val="Compact"/>
        <w:numPr>
          <w:ilvl w:val="0"/>
          <w:numId w:val="1006"/>
        </w:numPr>
      </w:pPr>
      <w:r>
        <w:t xml:space="preserve">support theming</w:t>
      </w:r>
    </w:p>
    <w:p>
      <w:pPr>
        <w:pStyle w:val="Compact"/>
        <w:numPr>
          <w:ilvl w:val="0"/>
          <w:numId w:val="1006"/>
        </w:numPr>
      </w:pPr>
      <w:r>
        <w:t xml:space="preserve">expose loading state</w:t>
      </w:r>
    </w:p>
    <w:p>
      <w:pPr>
        <w:pStyle w:val="Compact"/>
        <w:numPr>
          <w:ilvl w:val="0"/>
          <w:numId w:val="1006"/>
        </w:numPr>
      </w:pPr>
      <w:r>
        <w:t xml:space="preserve">expose error state</w:t>
      </w:r>
    </w:p>
    <w:p>
      <w:pPr>
        <w:pStyle w:val="Compact"/>
        <w:numPr>
          <w:ilvl w:val="0"/>
          <w:numId w:val="1006"/>
        </w:numPr>
      </w:pPr>
      <w:r>
        <w:t xml:space="preserve">expose unavailable state where applicable</w:t>
      </w:r>
    </w:p>
    <w:p>
      <w:pPr>
        <w:pStyle w:val="Compact"/>
        <w:numPr>
          <w:ilvl w:val="0"/>
          <w:numId w:val="1006"/>
        </w:numPr>
      </w:pPr>
      <w:r>
        <w:t xml:space="preserve">expose stale data state where applicable</w:t>
      </w:r>
    </w:p>
    <w:p>
      <w:pPr>
        <w:pStyle w:val="FirstParagraph"/>
      </w:pPr>
      <w:r>
        <w:t xml:space="preserve">Widgets shall remain visually consistent.</w:t>
      </w:r>
    </w:p>
    <w:p>
      <w:pPr>
        <w:pStyle w:val="BodyText"/>
      </w:pPr>
      <w:r>
        <w:t xml:space="preserve">Widget controls shall not unnecessarily consume space required for trading information.</w:t>
      </w:r>
    </w:p>
    <w:p>
      <w:r>
        <w:pict>
          <v:rect style="width:0;height:1.5pt" o:hralign="center" o:hrstd="t" o:hr="t"/>
        </w:pict>
      </w:r>
    </w:p>
    <w:bookmarkEnd w:id="15"/>
    <w:bookmarkStart w:id="16" w:name="widget-header"/>
    <w:p>
      <w:pPr>
        <w:pStyle w:val="Heading1"/>
      </w:pPr>
      <w:r>
        <w:t xml:space="preserve">Widget Header</w:t>
      </w:r>
    </w:p>
    <w:p>
      <w:pPr>
        <w:pStyle w:val="FirstParagraph"/>
      </w:pPr>
      <w:r>
        <w:t xml:space="preserve">Widget headers should provide only relevant controls.</w:t>
      </w:r>
    </w:p>
    <w:p>
      <w:pPr>
        <w:pStyle w:val="BodyText"/>
      </w:pPr>
      <w:r>
        <w:t xml:space="preserve">Typical header elements may include:</w:t>
      </w:r>
    </w:p>
    <w:p>
      <w:pPr>
        <w:pStyle w:val="Compact"/>
        <w:numPr>
          <w:ilvl w:val="0"/>
          <w:numId w:val="1007"/>
        </w:numPr>
      </w:pPr>
      <w:r>
        <w:t xml:space="preserve">widget title</w:t>
      </w:r>
    </w:p>
    <w:p>
      <w:pPr>
        <w:pStyle w:val="Compact"/>
        <w:numPr>
          <w:ilvl w:val="0"/>
          <w:numId w:val="1007"/>
        </w:numPr>
      </w:pPr>
      <w:r>
        <w:t xml:space="preserve">active instrument</w:t>
      </w:r>
    </w:p>
    <w:p>
      <w:pPr>
        <w:pStyle w:val="Compact"/>
        <w:numPr>
          <w:ilvl w:val="0"/>
          <w:numId w:val="1007"/>
        </w:numPr>
      </w:pPr>
      <w:r>
        <w:t xml:space="preserve">data state</w:t>
      </w:r>
    </w:p>
    <w:p>
      <w:pPr>
        <w:pStyle w:val="Compact"/>
        <w:numPr>
          <w:ilvl w:val="0"/>
          <w:numId w:val="1007"/>
        </w:numPr>
      </w:pPr>
      <w:r>
        <w:t xml:space="preserve">refresh state</w:t>
      </w:r>
    </w:p>
    <w:p>
      <w:pPr>
        <w:pStyle w:val="Compact"/>
        <w:numPr>
          <w:ilvl w:val="0"/>
          <w:numId w:val="1007"/>
        </w:numPr>
      </w:pPr>
      <w:r>
        <w:t xml:space="preserve">widget actions</w:t>
      </w:r>
    </w:p>
    <w:p>
      <w:pPr>
        <w:pStyle w:val="Compact"/>
        <w:numPr>
          <w:ilvl w:val="0"/>
          <w:numId w:val="1007"/>
        </w:numPr>
      </w:pPr>
      <w:r>
        <w:t xml:space="preserve">context actions</w:t>
      </w:r>
    </w:p>
    <w:p>
      <w:pPr>
        <w:pStyle w:val="FirstParagraph"/>
      </w:pPr>
      <w:r>
        <w:t xml:space="preserve">Avoid permanently displaying rarely used actions.</w:t>
      </w:r>
    </w:p>
    <w:p>
      <w:pPr>
        <w:pStyle w:val="BodyText"/>
      </w:pPr>
      <w:r>
        <w:t xml:space="preserve">Secondary actions should use:</w:t>
      </w:r>
    </w:p>
    <w:p>
      <w:pPr>
        <w:pStyle w:val="Compact"/>
        <w:numPr>
          <w:ilvl w:val="0"/>
          <w:numId w:val="1008"/>
        </w:numPr>
      </w:pPr>
      <w:r>
        <w:t xml:space="preserve">context menus</w:t>
      </w:r>
    </w:p>
    <w:p>
      <w:pPr>
        <w:pStyle w:val="Compact"/>
        <w:numPr>
          <w:ilvl w:val="0"/>
          <w:numId w:val="1008"/>
        </w:numPr>
      </w:pPr>
      <w:r>
        <w:t xml:space="preserve">overflow menus</w:t>
      </w:r>
    </w:p>
    <w:p>
      <w:pPr>
        <w:pStyle w:val="Compact"/>
        <w:numPr>
          <w:ilvl w:val="0"/>
          <w:numId w:val="1008"/>
        </w:numPr>
      </w:pPr>
      <w:r>
        <w:t xml:space="preserve">Command Palette commands</w:t>
      </w:r>
    </w:p>
    <w:p>
      <w:r>
        <w:pict>
          <v:rect style="width:0;height:1.5pt" o:hralign="center" o:hrstd="t" o:hr="t"/>
        </w:pict>
      </w:r>
    </w:p>
    <w:bookmarkEnd w:id="16"/>
    <w:bookmarkStart w:id="17" w:name="shared-instrument-context"/>
    <w:p>
      <w:pPr>
        <w:pStyle w:val="Heading1"/>
      </w:pPr>
      <w:r>
        <w:t xml:space="preserve">Shared Instrument Context</w:t>
      </w:r>
    </w:p>
    <w:p>
      <w:pPr>
        <w:pStyle w:val="FirstParagraph"/>
      </w:pPr>
      <w:r>
        <w:t xml:space="preserve">Compatible widgets may participate in shared instrument context.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Watchlist → Price Chart → Decision Center → Order Entry</w:t>
      </w:r>
    </w:p>
    <w:p>
      <w:pPr>
        <w:pStyle w:val="BodyText"/>
      </w:pPr>
      <w:r>
        <w:t xml:space="preserve">When a user selects an instrument in a publishing widget, compatible following widgets may update automatically.</w:t>
      </w:r>
    </w:p>
    <w:p>
      <w:pPr>
        <w:pStyle w:val="BodyText"/>
      </w:pPr>
      <w:r>
        <w:t xml:space="preserve">Context-aware widgets shall clearly display the active instrument.</w:t>
      </w:r>
    </w:p>
    <w:p>
      <w:pPr>
        <w:pStyle w:val="BodyText"/>
      </w:pPr>
      <w:r>
        <w:t xml:space="preserve">Users shall be able to understand why a widget changed context.</w:t>
      </w:r>
    </w:p>
    <w:p>
      <w:pPr>
        <w:pStyle w:val="BodyText"/>
      </w:pPr>
      <w:r>
        <w:t xml:space="preserve">Unexpected hidden context changes are not allowed.</w:t>
      </w:r>
    </w:p>
    <w:p>
      <w:pPr>
        <w:pStyle w:val="BodyText"/>
      </w:pPr>
      <w:r>
        <w:t xml:space="preserve">Widgets may:</w:t>
      </w:r>
    </w:p>
    <w:p>
      <w:pPr>
        <w:pStyle w:val="Compact"/>
        <w:numPr>
          <w:ilvl w:val="0"/>
          <w:numId w:val="1009"/>
        </w:numPr>
      </w:pPr>
      <w:r>
        <w:t xml:space="preserve">publish context</w:t>
      </w:r>
    </w:p>
    <w:p>
      <w:pPr>
        <w:pStyle w:val="Compact"/>
        <w:numPr>
          <w:ilvl w:val="0"/>
          <w:numId w:val="1009"/>
        </w:numPr>
      </w:pPr>
      <w:r>
        <w:t xml:space="preserve">follow context</w:t>
      </w:r>
    </w:p>
    <w:p>
      <w:pPr>
        <w:pStyle w:val="Compact"/>
        <w:numPr>
          <w:ilvl w:val="0"/>
          <w:numId w:val="1009"/>
        </w:numPr>
      </w:pPr>
      <w:r>
        <w:t xml:space="preserve">publish and follow context</w:t>
      </w:r>
    </w:p>
    <w:p>
      <w:pPr>
        <w:pStyle w:val="Compact"/>
        <w:numPr>
          <w:ilvl w:val="0"/>
          <w:numId w:val="1009"/>
        </w:numPr>
      </w:pPr>
      <w:r>
        <w:t xml:space="preserve">remain context-independent</w:t>
      </w:r>
    </w:p>
    <w:p>
      <w:pPr>
        <w:pStyle w:val="FirstParagraph"/>
      </w:pPr>
      <w:r>
        <w:t xml:space="preserve">Context behaviour shall follow the Widget Catalog.</w:t>
      </w:r>
    </w:p>
    <w:p>
      <w:r>
        <w:pict>
          <v:rect style="width:0;height:1.5pt" o:hralign="center" o:hrstd="t" o:hr="t"/>
        </w:pict>
      </w:r>
    </w:p>
    <w:bookmarkEnd w:id="17"/>
    <w:bookmarkStart w:id="18" w:name="context-preservation"/>
    <w:p>
      <w:pPr>
        <w:pStyle w:val="Heading1"/>
      </w:pPr>
      <w:r>
        <w:t xml:space="preserve">Context Preservation</w:t>
      </w:r>
    </w:p>
    <w:p>
      <w:pPr>
        <w:pStyle w:val="FirstParagraph"/>
      </w:pPr>
      <w:r>
        <w:t xml:space="preserve">The UI shall preserve user context whenever practical.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selected instrument</w:t>
      </w:r>
    </w:p>
    <w:p>
      <w:pPr>
        <w:pStyle w:val="Compact"/>
        <w:numPr>
          <w:ilvl w:val="0"/>
          <w:numId w:val="1010"/>
        </w:numPr>
      </w:pPr>
      <w:r>
        <w:t xml:space="preserve">selected candidate</w:t>
      </w:r>
    </w:p>
    <w:p>
      <w:pPr>
        <w:pStyle w:val="Compact"/>
        <w:numPr>
          <w:ilvl w:val="0"/>
          <w:numId w:val="1010"/>
        </w:numPr>
      </w:pPr>
      <w:r>
        <w:t xml:space="preserve">active workspace</w:t>
      </w:r>
    </w:p>
    <w:p>
      <w:pPr>
        <w:pStyle w:val="Compact"/>
        <w:numPr>
          <w:ilvl w:val="0"/>
          <w:numId w:val="1010"/>
        </w:numPr>
      </w:pPr>
      <w:r>
        <w:t xml:space="preserve">widget layout</w:t>
      </w:r>
    </w:p>
    <w:p>
      <w:pPr>
        <w:pStyle w:val="Compact"/>
        <w:numPr>
          <w:ilvl w:val="0"/>
          <w:numId w:val="1010"/>
        </w:numPr>
      </w:pPr>
      <w:r>
        <w:t xml:space="preserve">filters</w:t>
      </w:r>
    </w:p>
    <w:p>
      <w:pPr>
        <w:pStyle w:val="Compact"/>
        <w:numPr>
          <w:ilvl w:val="0"/>
          <w:numId w:val="1010"/>
        </w:numPr>
      </w:pPr>
      <w:r>
        <w:t xml:space="preserve">sorting</w:t>
      </w:r>
    </w:p>
    <w:p>
      <w:pPr>
        <w:pStyle w:val="Compact"/>
        <w:numPr>
          <w:ilvl w:val="0"/>
          <w:numId w:val="1010"/>
        </w:numPr>
      </w:pPr>
      <w:r>
        <w:t xml:space="preserve">selected timeframe</w:t>
      </w:r>
    </w:p>
    <w:p>
      <w:pPr>
        <w:pStyle w:val="FirstParagraph"/>
      </w:pPr>
      <w:r>
        <w:t xml:space="preserve">Opening another widget shall not unnecessarily reset existing workflow context.</w:t>
      </w:r>
    </w:p>
    <w:p>
      <w:pPr>
        <w:pStyle w:val="BodyText"/>
      </w:pPr>
      <w:r>
        <w:t xml:space="preserve">Application restart should restore the previous workspace where technically and operationally safe.</w:t>
      </w:r>
    </w:p>
    <w:p>
      <w:r>
        <w:pict>
          <v:rect style="width:0;height:1.5pt" o:hralign="center" o:hrstd="t" o:hr="t"/>
        </w:pict>
      </w:r>
    </w:p>
    <w:bookmarkEnd w:id="18"/>
    <w:bookmarkStart w:id="19" w:name="data-state-representation"/>
    <w:p>
      <w:pPr>
        <w:pStyle w:val="Heading1"/>
      </w:pPr>
      <w:r>
        <w:t xml:space="preserve">Data State Representation</w:t>
      </w:r>
    </w:p>
    <w:p>
      <w:pPr>
        <w:pStyle w:val="FirstParagraph"/>
      </w:pPr>
      <w:r>
        <w:t xml:space="preserve">Trading information shall expose its operational state.</w:t>
      </w:r>
    </w:p>
    <w:p>
      <w:pPr>
        <w:pStyle w:val="BodyText"/>
      </w:pPr>
      <w:r>
        <w:t xml:space="preserve">Standard data states:</w:t>
      </w:r>
    </w:p>
    <w:p>
      <w:pPr>
        <w:pStyle w:val="Compact"/>
        <w:numPr>
          <w:ilvl w:val="0"/>
          <w:numId w:val="1011"/>
        </w:numPr>
      </w:pPr>
      <w:r>
        <w:t xml:space="preserve">Loading</w:t>
      </w:r>
    </w:p>
    <w:p>
      <w:pPr>
        <w:pStyle w:val="Compact"/>
        <w:numPr>
          <w:ilvl w:val="0"/>
          <w:numId w:val="1011"/>
        </w:numPr>
      </w:pPr>
      <w:r>
        <w:t xml:space="preserve">Ready</w:t>
      </w:r>
    </w:p>
    <w:p>
      <w:pPr>
        <w:pStyle w:val="Compact"/>
        <w:numPr>
          <w:ilvl w:val="0"/>
          <w:numId w:val="1011"/>
        </w:numPr>
      </w:pPr>
      <w:r>
        <w:t xml:space="preserve">Stale</w:t>
      </w:r>
    </w:p>
    <w:p>
      <w:pPr>
        <w:pStyle w:val="Compact"/>
        <w:numPr>
          <w:ilvl w:val="0"/>
          <w:numId w:val="1011"/>
        </w:numPr>
      </w:pPr>
      <w:r>
        <w:t xml:space="preserve">Unavailable</w:t>
      </w:r>
    </w:p>
    <w:p>
      <w:pPr>
        <w:pStyle w:val="Compact"/>
        <w:numPr>
          <w:ilvl w:val="0"/>
          <w:numId w:val="1011"/>
        </w:numPr>
      </w:pPr>
      <w:r>
        <w:t xml:space="preserve">Disconnected</w:t>
      </w:r>
    </w:p>
    <w:p>
      <w:pPr>
        <w:pStyle w:val="Compact"/>
        <w:numPr>
          <w:ilvl w:val="0"/>
          <w:numId w:val="1011"/>
        </w:numPr>
      </w:pPr>
      <w:r>
        <w:t xml:space="preserve">Error</w:t>
      </w:r>
    </w:p>
    <w:p>
      <w:pPr>
        <w:pStyle w:val="FirstParagraph"/>
      </w:pPr>
      <w:r>
        <w:t xml:space="preserve">The UI shall never silently display stale data as current data.</w:t>
      </w:r>
    </w:p>
    <w:p>
      <w:pPr>
        <w:pStyle w:val="BodyText"/>
      </w:pPr>
      <w:r>
        <w:t xml:space="preserve">Data state indicators shall remain visually consistent across widgets.</w:t>
      </w:r>
    </w:p>
    <w:p>
      <w:pPr>
        <w:pStyle w:val="BodyText"/>
      </w:pPr>
      <w:r>
        <w:t xml:space="preserve">Where relevant, display:</w:t>
      </w:r>
    </w:p>
    <w:p>
      <w:pPr>
        <w:pStyle w:val="Compact"/>
        <w:numPr>
          <w:ilvl w:val="0"/>
          <w:numId w:val="1012"/>
        </w:numPr>
      </w:pPr>
      <w:r>
        <w:t xml:space="preserve">source</w:t>
      </w:r>
    </w:p>
    <w:p>
      <w:pPr>
        <w:pStyle w:val="Compact"/>
        <w:numPr>
          <w:ilvl w:val="0"/>
          <w:numId w:val="1012"/>
        </w:numPr>
      </w:pPr>
      <w:r>
        <w:t xml:space="preserve">timestamp</w:t>
      </w:r>
    </w:p>
    <w:p>
      <w:pPr>
        <w:pStyle w:val="Compact"/>
        <w:numPr>
          <w:ilvl w:val="0"/>
          <w:numId w:val="1012"/>
        </w:numPr>
      </w:pPr>
      <w:r>
        <w:t xml:space="preserve">last update</w:t>
      </w:r>
    </w:p>
    <w:p>
      <w:pPr>
        <w:pStyle w:val="Compact"/>
        <w:numPr>
          <w:ilvl w:val="0"/>
          <w:numId w:val="1012"/>
        </w:numPr>
      </w:pPr>
      <w:r>
        <w:t xml:space="preserve">connection state</w:t>
      </w:r>
    </w:p>
    <w:p>
      <w:r>
        <w:pict>
          <v:rect style="width:0;height:1.5pt" o:hralign="center" o:hrstd="t" o:hr="t"/>
        </w:pict>
      </w:r>
    </w:p>
    <w:bookmarkEnd w:id="19"/>
    <w:bookmarkStart w:id="20" w:name="loading-state"/>
    <w:p>
      <w:pPr>
        <w:pStyle w:val="Heading1"/>
      </w:pPr>
      <w:r>
        <w:t xml:space="preserve">Loading State</w:t>
      </w:r>
    </w:p>
    <w:p>
      <w:pPr>
        <w:pStyle w:val="FirstParagraph"/>
      </w:pPr>
      <w:r>
        <w:t xml:space="preserve">Loading states shall communicate that data is being retrieved or processed.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3"/>
        </w:numPr>
      </w:pPr>
      <w:r>
        <w:t xml:space="preserve">compact progress indicators</w:t>
      </w:r>
    </w:p>
    <w:p>
      <w:pPr>
        <w:pStyle w:val="Compact"/>
        <w:numPr>
          <w:ilvl w:val="0"/>
          <w:numId w:val="1013"/>
        </w:numPr>
      </w:pPr>
      <w:r>
        <w:t xml:space="preserve">skeleton states where appropriate</w:t>
      </w:r>
    </w:p>
    <w:p>
      <w:pPr>
        <w:pStyle w:val="Compact"/>
        <w:numPr>
          <w:ilvl w:val="0"/>
          <w:numId w:val="1013"/>
        </w:numPr>
      </w:pPr>
      <w:r>
        <w:t xml:space="preserve">status text for longer operations</w:t>
      </w:r>
    </w:p>
    <w:p>
      <w:pPr>
        <w:pStyle w:val="FirstParagraph"/>
      </w:pPr>
      <w:r>
        <w:t xml:space="preserve">Avoid blocking the complete application for widget-specific loading operations.</w:t>
      </w:r>
    </w:p>
    <w:p>
      <w:r>
        <w:pict>
          <v:rect style="width:0;height:1.5pt" o:hralign="center" o:hrstd="t" o:hr="t"/>
        </w:pict>
      </w:r>
    </w:p>
    <w:bookmarkEnd w:id="20"/>
    <w:bookmarkStart w:id="21" w:name="stale-data-state"/>
    <w:p>
      <w:pPr>
        <w:pStyle w:val="Heading1"/>
      </w:pPr>
      <w:r>
        <w:t xml:space="preserve">Stale Data State</w:t>
      </w:r>
    </w:p>
    <w:p>
      <w:pPr>
        <w:pStyle w:val="FirstParagraph"/>
      </w:pPr>
      <w:r>
        <w:t xml:space="preserve">Stale trading data is operationally relevant.</w:t>
      </w:r>
    </w:p>
    <w:p>
      <w:pPr>
        <w:pStyle w:val="BodyText"/>
      </w:pPr>
      <w:r>
        <w:t xml:space="preserve">Widgets displaying stale data shall:</w:t>
      </w:r>
    </w:p>
    <w:p>
      <w:pPr>
        <w:pStyle w:val="Compact"/>
        <w:numPr>
          <w:ilvl w:val="0"/>
          <w:numId w:val="1014"/>
        </w:numPr>
      </w:pPr>
      <w:r>
        <w:t xml:space="preserve">visibly indicate stale state</w:t>
      </w:r>
    </w:p>
    <w:p>
      <w:pPr>
        <w:pStyle w:val="Compact"/>
        <w:numPr>
          <w:ilvl w:val="0"/>
          <w:numId w:val="1014"/>
        </w:numPr>
      </w:pPr>
      <w:r>
        <w:t xml:space="preserve">preserve the last available value where useful</w:t>
      </w:r>
    </w:p>
    <w:p>
      <w:pPr>
        <w:pStyle w:val="Compact"/>
        <w:numPr>
          <w:ilvl w:val="0"/>
          <w:numId w:val="1014"/>
        </w:numPr>
      </w:pPr>
      <w:r>
        <w:t xml:space="preserve">expose the last update timestamp where relevant</w:t>
      </w:r>
    </w:p>
    <w:p>
      <w:pPr>
        <w:pStyle w:val="FirstParagraph"/>
      </w:pPr>
      <w:r>
        <w:t xml:space="preserve">Stale data shall not visually appear identical to current data.</w:t>
      </w:r>
    </w:p>
    <w:p>
      <w:r>
        <w:pict>
          <v:rect style="width:0;height:1.5pt" o:hralign="center" o:hrstd="t" o:hr="t"/>
        </w:pict>
      </w:r>
    </w:p>
    <w:bookmarkEnd w:id="21"/>
    <w:bookmarkStart w:id="22" w:name="unavailable-state"/>
    <w:p>
      <w:pPr>
        <w:pStyle w:val="Heading1"/>
      </w:pPr>
      <w:r>
        <w:t xml:space="preserve">Unavailable State</w:t>
      </w:r>
    </w:p>
    <w:p>
      <w:pPr>
        <w:pStyle w:val="FirstParagraph"/>
      </w:pPr>
      <w:r>
        <w:t xml:space="preserve">Unavailable information shall be represented explicitly.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Unavailable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N/A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No data</w:t>
      </w:r>
    </w:p>
    <w:p>
      <w:pPr>
        <w:pStyle w:val="FirstParagraph"/>
      </w:pPr>
      <w:r>
        <w:t xml:space="preserve">Do not replace unavailable financial information with:</w:t>
      </w:r>
    </w:p>
    <w:p>
      <w:pPr>
        <w:pStyle w:val="Compact"/>
        <w:numPr>
          <w:ilvl w:val="0"/>
          <w:numId w:val="1016"/>
        </w:numPr>
      </w:pPr>
      <w:r>
        <w:t xml:space="preserve">zero</w:t>
      </w:r>
    </w:p>
    <w:p>
      <w:pPr>
        <w:pStyle w:val="Compact"/>
        <w:numPr>
          <w:ilvl w:val="0"/>
          <w:numId w:val="1016"/>
        </w:numPr>
      </w:pPr>
      <w:r>
        <w:t xml:space="preserve">estimated values</w:t>
      </w:r>
    </w:p>
    <w:p>
      <w:pPr>
        <w:pStyle w:val="Compact"/>
        <w:numPr>
          <w:ilvl w:val="0"/>
          <w:numId w:val="1016"/>
        </w:numPr>
      </w:pPr>
      <w:r>
        <w:t xml:space="preserve">previous values without stale indication</w:t>
      </w:r>
    </w:p>
    <w:p>
      <w:pPr>
        <w:pStyle w:val="FirstParagraph"/>
      </w:pPr>
      <w:r>
        <w:t xml:space="preserve">The UI shall not invent missing financial information.</w:t>
      </w:r>
    </w:p>
    <w:p>
      <w:r>
        <w:pict>
          <v:rect style="width:0;height:1.5pt" o:hralign="center" o:hrstd="t" o:hr="t"/>
        </w:pict>
      </w:r>
    </w:p>
    <w:bookmarkEnd w:id="22"/>
    <w:bookmarkStart w:id="23" w:name="disconnected-state"/>
    <w:p>
      <w:pPr>
        <w:pStyle w:val="Heading1"/>
      </w:pPr>
      <w:r>
        <w:t xml:space="preserve">Disconnected State</w:t>
      </w:r>
    </w:p>
    <w:p>
      <w:pPr>
        <w:pStyle w:val="FirstParagraph"/>
      </w:pPr>
      <w:r>
        <w:t xml:space="preserve">External connection failures shall be visible.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broker disconnected</w:t>
      </w:r>
    </w:p>
    <w:p>
      <w:pPr>
        <w:pStyle w:val="Compact"/>
        <w:numPr>
          <w:ilvl w:val="0"/>
          <w:numId w:val="1017"/>
        </w:numPr>
      </w:pPr>
      <w:r>
        <w:t xml:space="preserve">market data disconnected</w:t>
      </w:r>
    </w:p>
    <w:p>
      <w:pPr>
        <w:pStyle w:val="Compact"/>
        <w:numPr>
          <w:ilvl w:val="0"/>
          <w:numId w:val="1017"/>
        </w:numPr>
      </w:pPr>
      <w:r>
        <w:t xml:space="preserve">external service unavailable</w:t>
      </w:r>
    </w:p>
    <w:p>
      <w:pPr>
        <w:pStyle w:val="FirstParagraph"/>
      </w:pPr>
      <w:r>
        <w:t xml:space="preserve">The UI shall communicate:</w:t>
      </w:r>
    </w:p>
    <w:p>
      <w:pPr>
        <w:pStyle w:val="Compact"/>
        <w:numPr>
          <w:ilvl w:val="0"/>
          <w:numId w:val="1018"/>
        </w:numPr>
      </w:pPr>
      <w:r>
        <w:t xml:space="preserve">affected capability</w:t>
      </w:r>
    </w:p>
    <w:p>
      <w:pPr>
        <w:pStyle w:val="Compact"/>
        <w:numPr>
          <w:ilvl w:val="0"/>
          <w:numId w:val="1018"/>
        </w:numPr>
      </w:pPr>
      <w:r>
        <w:t xml:space="preserve">current connection state</w:t>
      </w:r>
    </w:p>
    <w:p>
      <w:pPr>
        <w:pStyle w:val="Compact"/>
        <w:numPr>
          <w:ilvl w:val="0"/>
          <w:numId w:val="1018"/>
        </w:numPr>
      </w:pPr>
      <w:r>
        <w:t xml:space="preserve">operational impact</w:t>
      </w:r>
    </w:p>
    <w:p>
      <w:pPr>
        <w:pStyle w:val="FirstParagraph"/>
      </w:pPr>
      <w:r>
        <w:t xml:space="preserve">Disconnected state shall not be hidden only in logs.</w:t>
      </w:r>
    </w:p>
    <w:p>
      <w:r>
        <w:pict>
          <v:rect style="width:0;height:1.5pt" o:hralign="center" o:hrstd="t" o:hr="t"/>
        </w:pict>
      </w:r>
    </w:p>
    <w:bookmarkEnd w:id="23"/>
    <w:bookmarkStart w:id="24" w:name="error-state"/>
    <w:p>
      <w:pPr>
        <w:pStyle w:val="Heading1"/>
      </w:pPr>
      <w:r>
        <w:t xml:space="preserve">Error State</w:t>
      </w:r>
    </w:p>
    <w:p>
      <w:pPr>
        <w:pStyle w:val="FirstParagraph"/>
      </w:pPr>
      <w:r>
        <w:t xml:space="preserve">User-facing errors shall explain:</w:t>
      </w:r>
    </w:p>
    <w:p>
      <w:pPr>
        <w:pStyle w:val="Compact"/>
        <w:numPr>
          <w:ilvl w:val="0"/>
          <w:numId w:val="1019"/>
        </w:numPr>
      </w:pPr>
      <w:r>
        <w:t xml:space="preserve">what failed</w:t>
      </w:r>
    </w:p>
    <w:p>
      <w:pPr>
        <w:pStyle w:val="Compact"/>
        <w:numPr>
          <w:ilvl w:val="0"/>
          <w:numId w:val="1019"/>
        </w:numPr>
      </w:pPr>
      <w:r>
        <w:t xml:space="preserve">the operational impact</w:t>
      </w:r>
    </w:p>
    <w:p>
      <w:pPr>
        <w:pStyle w:val="Compact"/>
        <w:numPr>
          <w:ilvl w:val="0"/>
          <w:numId w:val="1019"/>
        </w:numPr>
      </w:pPr>
      <w:r>
        <w:t xml:space="preserve">whether user action is required</w:t>
      </w:r>
    </w:p>
    <w:p>
      <w:pPr>
        <w:pStyle w:val="FirstParagraph"/>
      </w:pPr>
      <w:r>
        <w:t xml:space="preserve">Avoid exposing internal stack traces in normal UI views.</w:t>
      </w:r>
    </w:p>
    <w:p>
      <w:pPr>
        <w:pStyle w:val="BodyText"/>
      </w:pPr>
      <w:r>
        <w:t xml:space="preserve">Detailed technical information belongs in structured logs.</w:t>
      </w:r>
    </w:p>
    <w:p>
      <w:r>
        <w:pict>
          <v:rect style="width:0;height:1.5pt" o:hralign="center" o:hrstd="t" o:hr="t"/>
        </w:pict>
      </w:r>
    </w:p>
    <w:bookmarkEnd w:id="24"/>
    <w:bookmarkStart w:id="25" w:name="information-density"/>
    <w:p>
      <w:pPr>
        <w:pStyle w:val="Heading1"/>
      </w:pPr>
      <w:r>
        <w:t xml:space="preserve">Information Density</w:t>
      </w:r>
    </w:p>
    <w:p>
      <w:pPr>
        <w:pStyle w:val="FirstParagraph"/>
      </w:pPr>
      <w:r>
        <w:t xml:space="preserve">The Trading Cockpit is a professional information-dense application.</w:t>
      </w:r>
    </w:p>
    <w:p>
      <w:pPr>
        <w:pStyle w:val="BodyText"/>
      </w:pPr>
      <w:r>
        <w:t xml:space="preserve">The UI should:</w:t>
      </w:r>
    </w:p>
    <w:p>
      <w:pPr>
        <w:pStyle w:val="Compact"/>
        <w:numPr>
          <w:ilvl w:val="0"/>
          <w:numId w:val="1020"/>
        </w:numPr>
      </w:pPr>
      <w:r>
        <w:t xml:space="preserve">maximize useful trading information</w:t>
      </w:r>
    </w:p>
    <w:p>
      <w:pPr>
        <w:pStyle w:val="Compact"/>
        <w:numPr>
          <w:ilvl w:val="0"/>
          <w:numId w:val="1020"/>
        </w:numPr>
      </w:pPr>
      <w:r>
        <w:t xml:space="preserve">minimize decorative whitespace</w:t>
      </w:r>
    </w:p>
    <w:p>
      <w:pPr>
        <w:pStyle w:val="Compact"/>
        <w:numPr>
          <w:ilvl w:val="0"/>
          <w:numId w:val="1020"/>
        </w:numPr>
      </w:pPr>
      <w:r>
        <w:t xml:space="preserve">preserve visual hierarchy</w:t>
      </w:r>
    </w:p>
    <w:p>
      <w:pPr>
        <w:pStyle w:val="Compact"/>
        <w:numPr>
          <w:ilvl w:val="0"/>
          <w:numId w:val="1020"/>
        </w:numPr>
      </w:pPr>
      <w:r>
        <w:t xml:space="preserve">avoid unnecessary large controls</w:t>
      </w:r>
    </w:p>
    <w:p>
      <w:pPr>
        <w:pStyle w:val="Compact"/>
        <w:numPr>
          <w:ilvl w:val="0"/>
          <w:numId w:val="1020"/>
        </w:numPr>
      </w:pPr>
      <w:r>
        <w:t xml:space="preserve">support compact tables</w:t>
      </w:r>
    </w:p>
    <w:p>
      <w:pPr>
        <w:pStyle w:val="Compact"/>
        <w:numPr>
          <w:ilvl w:val="0"/>
          <w:numId w:val="1020"/>
        </w:numPr>
      </w:pPr>
      <w:r>
        <w:t xml:space="preserve">support efficient scanning</w:t>
      </w:r>
    </w:p>
    <w:p>
      <w:pPr>
        <w:pStyle w:val="FirstParagraph"/>
      </w:pPr>
      <w:r>
        <w:t xml:space="preserve">High information density shall not reduce readability.</w:t>
      </w:r>
    </w:p>
    <w:p>
      <w:r>
        <w:pict>
          <v:rect style="width:0;height:1.5pt" o:hralign="center" o:hrstd="t" o:hr="t"/>
        </w:pict>
      </w:r>
    </w:p>
    <w:bookmarkEnd w:id="25"/>
    <w:bookmarkStart w:id="26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Tables are primary Trading Cockpit components.</w:t>
      </w:r>
    </w:p>
    <w:p>
      <w:pPr>
        <w:pStyle w:val="BodyText"/>
      </w:pPr>
      <w:r>
        <w:t xml:space="preserve">Tables shall support where appropriate:</w:t>
      </w:r>
    </w:p>
    <w:p>
      <w:pPr>
        <w:pStyle w:val="Compact"/>
        <w:numPr>
          <w:ilvl w:val="0"/>
          <w:numId w:val="1021"/>
        </w:numPr>
      </w:pPr>
      <w:r>
        <w:t xml:space="preserve">column sorting</w:t>
      </w:r>
    </w:p>
    <w:p>
      <w:pPr>
        <w:pStyle w:val="Compact"/>
        <w:numPr>
          <w:ilvl w:val="0"/>
          <w:numId w:val="1021"/>
        </w:numPr>
      </w:pPr>
      <w:r>
        <w:t xml:space="preserve">filtering</w:t>
      </w:r>
    </w:p>
    <w:p>
      <w:pPr>
        <w:pStyle w:val="Compact"/>
        <w:numPr>
          <w:ilvl w:val="0"/>
          <w:numId w:val="1021"/>
        </w:numPr>
      </w:pPr>
      <w:r>
        <w:t xml:space="preserve">column resizing</w:t>
      </w:r>
    </w:p>
    <w:p>
      <w:pPr>
        <w:pStyle w:val="Compact"/>
        <w:numPr>
          <w:ilvl w:val="0"/>
          <w:numId w:val="1021"/>
        </w:numPr>
      </w:pPr>
      <w:r>
        <w:t xml:space="preserve">column reordering</w:t>
      </w:r>
    </w:p>
    <w:p>
      <w:pPr>
        <w:pStyle w:val="Compact"/>
        <w:numPr>
          <w:ilvl w:val="0"/>
          <w:numId w:val="1021"/>
        </w:numPr>
      </w:pPr>
      <w:r>
        <w:t xml:space="preserve">keyboard navigation</w:t>
      </w:r>
    </w:p>
    <w:p>
      <w:pPr>
        <w:pStyle w:val="Compact"/>
        <w:numPr>
          <w:ilvl w:val="0"/>
          <w:numId w:val="1021"/>
        </w:numPr>
      </w:pPr>
      <w:r>
        <w:t xml:space="preserve">row selection</w:t>
      </w:r>
    </w:p>
    <w:p>
      <w:pPr>
        <w:pStyle w:val="Compact"/>
        <w:numPr>
          <w:ilvl w:val="0"/>
          <w:numId w:val="1021"/>
        </w:numPr>
      </w:pPr>
      <w:r>
        <w:t xml:space="preserve">multi-selection</w:t>
      </w:r>
    </w:p>
    <w:p>
      <w:pPr>
        <w:pStyle w:val="Compact"/>
        <w:numPr>
          <w:ilvl w:val="0"/>
          <w:numId w:val="1021"/>
        </w:numPr>
      </w:pPr>
      <w:r>
        <w:t xml:space="preserve">context menus</w:t>
      </w:r>
    </w:p>
    <w:p>
      <w:pPr>
        <w:pStyle w:val="Compact"/>
        <w:numPr>
          <w:ilvl w:val="0"/>
          <w:numId w:val="1021"/>
        </w:numPr>
      </w:pPr>
      <w:r>
        <w:t xml:space="preserve">persistent column state</w:t>
      </w:r>
    </w:p>
    <w:p>
      <w:pPr>
        <w:pStyle w:val="FirstParagraph"/>
      </w:pPr>
      <w:r>
        <w:t xml:space="preserve">Numeric values should be aligned consistently.</w:t>
      </w:r>
    </w:p>
    <w:p>
      <w:pPr>
        <w:pStyle w:val="BodyText"/>
      </w:pPr>
      <w:r>
        <w:t xml:space="preserve">Financial values shall use consistent formatting.</w:t>
      </w:r>
    </w:p>
    <w:p>
      <w:r>
        <w:pict>
          <v:rect style="width:0;height:1.5pt" o:hralign="center" o:hrstd="t" o:hr="t"/>
        </w:pict>
      </w:r>
    </w:p>
    <w:bookmarkEnd w:id="26"/>
    <w:bookmarkStart w:id="27" w:name="financial-value-formatting"/>
    <w:p>
      <w:pPr>
        <w:pStyle w:val="Heading1"/>
      </w:pPr>
      <w:r>
        <w:t xml:space="preserve">Financial Value Formatting</w:t>
      </w:r>
    </w:p>
    <w:p>
      <w:pPr>
        <w:pStyle w:val="FirstParagraph"/>
      </w:pPr>
      <w:r>
        <w:t xml:space="preserve">Financial values shall use explicit formatting rules.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prices</w:t>
      </w:r>
    </w:p>
    <w:p>
      <w:pPr>
        <w:pStyle w:val="Compact"/>
        <w:numPr>
          <w:ilvl w:val="0"/>
          <w:numId w:val="1022"/>
        </w:numPr>
      </w:pPr>
      <w:r>
        <w:t xml:space="preserve">quantities</w:t>
      </w:r>
    </w:p>
    <w:p>
      <w:pPr>
        <w:pStyle w:val="Compact"/>
        <w:numPr>
          <w:ilvl w:val="0"/>
          <w:numId w:val="1022"/>
        </w:numPr>
      </w:pPr>
      <w:r>
        <w:t xml:space="preserve">percentages</w:t>
      </w:r>
    </w:p>
    <w:p>
      <w:pPr>
        <w:pStyle w:val="Compact"/>
        <w:numPr>
          <w:ilvl w:val="0"/>
          <w:numId w:val="1022"/>
        </w:numPr>
      </w:pPr>
      <w:r>
        <w:t xml:space="preserve">currency values</w:t>
      </w:r>
    </w:p>
    <w:p>
      <w:pPr>
        <w:pStyle w:val="Compact"/>
        <w:numPr>
          <w:ilvl w:val="0"/>
          <w:numId w:val="1022"/>
        </w:numPr>
      </w:pPr>
      <w:r>
        <w:t xml:space="preserve">P&amp;L values</w:t>
      </w:r>
    </w:p>
    <w:p>
      <w:pPr>
        <w:pStyle w:val="Compact"/>
        <w:numPr>
          <w:ilvl w:val="0"/>
          <w:numId w:val="1022"/>
        </w:numPr>
      </w:pPr>
      <w:r>
        <w:t xml:space="preserve">exposure values</w:t>
      </w:r>
    </w:p>
    <w:p>
      <w:pPr>
        <w:pStyle w:val="FirstParagraph"/>
      </w:pPr>
      <w:r>
        <w:t xml:space="preserve">Formatting shall consider:</w:t>
      </w:r>
    </w:p>
    <w:p>
      <w:pPr>
        <w:pStyle w:val="Compact"/>
        <w:numPr>
          <w:ilvl w:val="0"/>
          <w:numId w:val="1023"/>
        </w:numPr>
      </w:pPr>
      <w:r>
        <w:t xml:space="preserve">instrument precision</w:t>
      </w:r>
    </w:p>
    <w:p>
      <w:pPr>
        <w:pStyle w:val="Compact"/>
        <w:numPr>
          <w:ilvl w:val="0"/>
          <w:numId w:val="1023"/>
        </w:numPr>
      </w:pPr>
      <w:r>
        <w:t xml:space="preserve">currency</w:t>
      </w:r>
    </w:p>
    <w:p>
      <w:pPr>
        <w:pStyle w:val="Compact"/>
        <w:numPr>
          <w:ilvl w:val="0"/>
          <w:numId w:val="1023"/>
        </w:numPr>
      </w:pPr>
      <w:r>
        <w:t xml:space="preserve">sign</w:t>
      </w:r>
    </w:p>
    <w:p>
      <w:pPr>
        <w:pStyle w:val="Compact"/>
        <w:numPr>
          <w:ilvl w:val="0"/>
          <w:numId w:val="1023"/>
        </w:numPr>
      </w:pPr>
      <w:r>
        <w:t xml:space="preserve">unavailable state</w:t>
      </w:r>
    </w:p>
    <w:p>
      <w:pPr>
        <w:pStyle w:val="FirstParagraph"/>
      </w:pPr>
      <w:r>
        <w:t xml:space="preserve">Positive and negative values may use semantic visual indicators.</w:t>
      </w:r>
    </w:p>
    <w:p>
      <w:pPr>
        <w:pStyle w:val="BodyText"/>
      </w:pPr>
      <w:r>
        <w:t xml:space="preserve">Colour shall not be the only indicator of value meaning.</w:t>
      </w:r>
    </w:p>
    <w:p>
      <w:r>
        <w:pict>
          <v:rect style="width:0;height:1.5pt" o:hralign="center" o:hrstd="t" o:hr="t"/>
        </w:pict>
      </w:r>
    </w:p>
    <w:bookmarkEnd w:id="27"/>
    <w:bookmarkStart w:id="28" w:name="time-and-timestamp-display"/>
    <w:p>
      <w:pPr>
        <w:pStyle w:val="Heading1"/>
      </w:pPr>
      <w:r>
        <w:t xml:space="preserve">Time and Timestamp Display</w:t>
      </w:r>
    </w:p>
    <w:p>
      <w:pPr>
        <w:pStyle w:val="FirstParagraph"/>
      </w:pPr>
      <w:r>
        <w:t xml:space="preserve">Trading information frequently depends on time.</w:t>
      </w:r>
    </w:p>
    <w:p>
      <w:pPr>
        <w:pStyle w:val="BodyText"/>
      </w:pPr>
      <w:r>
        <w:t xml:space="preserve">Timestamps shall:</w:t>
      </w:r>
    </w:p>
    <w:p>
      <w:pPr>
        <w:pStyle w:val="Compact"/>
        <w:numPr>
          <w:ilvl w:val="0"/>
          <w:numId w:val="1024"/>
        </w:numPr>
      </w:pPr>
      <w:r>
        <w:t xml:space="preserve">use a defined timezone</w:t>
      </w:r>
    </w:p>
    <w:p>
      <w:pPr>
        <w:pStyle w:val="Compact"/>
        <w:numPr>
          <w:ilvl w:val="0"/>
          <w:numId w:val="1024"/>
        </w:numPr>
      </w:pPr>
      <w:r>
        <w:t xml:space="preserve">remain consistent within a view</w:t>
      </w:r>
    </w:p>
    <w:p>
      <w:pPr>
        <w:pStyle w:val="Compact"/>
        <w:numPr>
          <w:ilvl w:val="0"/>
          <w:numId w:val="1024"/>
        </w:numPr>
      </w:pPr>
      <w:r>
        <w:t xml:space="preserve">expose timezone context where ambiguity exists</w:t>
      </w:r>
    </w:p>
    <w:p>
      <w:pPr>
        <w:pStyle w:val="FirstParagraph"/>
      </w:pPr>
      <w:r>
        <w:t xml:space="preserve">The application shall distinguish between:</w:t>
      </w:r>
    </w:p>
    <w:p>
      <w:pPr>
        <w:pStyle w:val="Compact"/>
        <w:numPr>
          <w:ilvl w:val="0"/>
          <w:numId w:val="1025"/>
        </w:numPr>
      </w:pPr>
      <w:r>
        <w:t xml:space="preserve">market timestamp</w:t>
      </w:r>
    </w:p>
    <w:p>
      <w:pPr>
        <w:pStyle w:val="Compact"/>
        <w:numPr>
          <w:ilvl w:val="0"/>
          <w:numId w:val="1025"/>
        </w:numPr>
      </w:pPr>
      <w:r>
        <w:t xml:space="preserve">broker timestamp</w:t>
      </w:r>
    </w:p>
    <w:p>
      <w:pPr>
        <w:pStyle w:val="Compact"/>
        <w:numPr>
          <w:ilvl w:val="0"/>
          <w:numId w:val="1025"/>
        </w:numPr>
      </w:pPr>
      <w:r>
        <w:t xml:space="preserve">local application timestamp</w:t>
      </w:r>
    </w:p>
    <w:p>
      <w:pPr>
        <w:pStyle w:val="FirstParagraph"/>
      </w:pPr>
      <w:r>
        <w:t xml:space="preserve">Do not silently mix timezone contexts.</w:t>
      </w:r>
    </w:p>
    <w:p>
      <w:r>
        <w:pict>
          <v:rect style="width:0;height:1.5pt" o:hralign="center" o:hrstd="t" o:hr="t"/>
        </w:pict>
      </w:r>
    </w:p>
    <w:bookmarkEnd w:id="28"/>
    <w:bookmarkStart w:id="29" w:name="navigation"/>
    <w:p>
      <w:pPr>
        <w:pStyle w:val="Heading1"/>
      </w:pPr>
      <w:r>
        <w:t xml:space="preserve">Navigation</w:t>
      </w:r>
    </w:p>
    <w:p>
      <w:pPr>
        <w:pStyle w:val="FirstParagraph"/>
      </w:pPr>
      <w:r>
        <w:t xml:space="preserve">Navigation shall minimize workflow interruption.</w:t>
      </w:r>
    </w:p>
    <w:p>
      <w:pPr>
        <w:pStyle w:val="BodyText"/>
      </w:pPr>
      <w:r>
        <w:t xml:space="preserve">Primary navigation should provide access to major product capabilities.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6"/>
        </w:numPr>
      </w:pPr>
      <w:r>
        <w:t xml:space="preserve">keyboard shortcuts</w:t>
      </w:r>
    </w:p>
    <w:p>
      <w:pPr>
        <w:pStyle w:val="Compact"/>
        <w:numPr>
          <w:ilvl w:val="0"/>
          <w:numId w:val="1026"/>
        </w:numPr>
      </w:pPr>
      <w:r>
        <w:t xml:space="preserve">Command Palette</w:t>
      </w:r>
    </w:p>
    <w:p>
      <w:pPr>
        <w:pStyle w:val="Compact"/>
        <w:numPr>
          <w:ilvl w:val="0"/>
          <w:numId w:val="1026"/>
        </w:numPr>
      </w:pPr>
      <w:r>
        <w:t xml:space="preserve">context actions</w:t>
      </w:r>
    </w:p>
    <w:p>
      <w:pPr>
        <w:pStyle w:val="Compact"/>
        <w:numPr>
          <w:ilvl w:val="0"/>
          <w:numId w:val="1026"/>
        </w:numPr>
      </w:pPr>
      <w:r>
        <w:t xml:space="preserve">direct widget interaction</w:t>
      </w:r>
    </w:p>
    <w:p>
      <w:pPr>
        <w:pStyle w:val="FirstParagraph"/>
      </w:pPr>
      <w:r>
        <w:t xml:space="preserve">Avoid deep menu hierarchies.</w:t>
      </w:r>
    </w:p>
    <w:p>
      <w:pPr>
        <w:pStyle w:val="BodyText"/>
      </w:pPr>
      <w:r>
        <w:t xml:space="preserve">Navigation shall preserve workspace context.</w:t>
      </w:r>
    </w:p>
    <w:p>
      <w:r>
        <w:pict>
          <v:rect style="width:0;height:1.5pt" o:hralign="center" o:hrstd="t" o:hr="t"/>
        </w:pict>
      </w:r>
    </w:p>
    <w:bookmarkEnd w:id="29"/>
    <w:bookmarkStart w:id="30" w:name="command-palette"/>
    <w:p>
      <w:pPr>
        <w:pStyle w:val="Heading1"/>
      </w:pPr>
      <w:r>
        <w:t xml:space="preserve">Command Palette</w:t>
      </w:r>
    </w:p>
    <w:p>
      <w:pPr>
        <w:pStyle w:val="FirstParagraph"/>
      </w:pPr>
      <w:r>
        <w:t xml:space="preserve">The Command Palette provides keyboard-driven application control.</w:t>
      </w:r>
    </w:p>
    <w:p>
      <w:pPr>
        <w:pStyle w:val="BodyText"/>
      </w:pPr>
      <w:r>
        <w:t xml:space="preserve">Commands may include:</w:t>
      </w:r>
    </w:p>
    <w:p>
      <w:pPr>
        <w:pStyle w:val="Compact"/>
        <w:numPr>
          <w:ilvl w:val="0"/>
          <w:numId w:val="1027"/>
        </w:numPr>
      </w:pPr>
      <w:r>
        <w:t xml:space="preserve">open widget</w:t>
      </w:r>
    </w:p>
    <w:p>
      <w:pPr>
        <w:pStyle w:val="Compact"/>
        <w:numPr>
          <w:ilvl w:val="0"/>
          <w:numId w:val="1027"/>
        </w:numPr>
      </w:pPr>
      <w:r>
        <w:t xml:space="preserve">close widget</w:t>
      </w:r>
    </w:p>
    <w:p>
      <w:pPr>
        <w:pStyle w:val="Compact"/>
        <w:numPr>
          <w:ilvl w:val="0"/>
          <w:numId w:val="1027"/>
        </w:numPr>
      </w:pPr>
      <w:r>
        <w:t xml:space="preserve">switch workspace</w:t>
      </w:r>
    </w:p>
    <w:p>
      <w:pPr>
        <w:pStyle w:val="Compact"/>
        <w:numPr>
          <w:ilvl w:val="0"/>
          <w:numId w:val="1027"/>
        </w:numPr>
      </w:pPr>
      <w:r>
        <w:t xml:space="preserve">select instrument</w:t>
      </w:r>
    </w:p>
    <w:p>
      <w:pPr>
        <w:pStyle w:val="Compact"/>
        <w:numPr>
          <w:ilvl w:val="0"/>
          <w:numId w:val="1027"/>
        </w:numPr>
      </w:pPr>
      <w:r>
        <w:t xml:space="preserve">execute application command</w:t>
      </w:r>
    </w:p>
    <w:p>
      <w:pPr>
        <w:pStyle w:val="Compact"/>
        <w:numPr>
          <w:ilvl w:val="0"/>
          <w:numId w:val="1027"/>
        </w:numPr>
      </w:pPr>
      <w:r>
        <w:t xml:space="preserve">open settings</w:t>
      </w:r>
    </w:p>
    <w:p>
      <w:pPr>
        <w:pStyle w:val="Compact"/>
        <w:numPr>
          <w:ilvl w:val="0"/>
          <w:numId w:val="1027"/>
        </w:numPr>
      </w:pPr>
      <w:r>
        <w:t xml:space="preserve">trigger refresh</w:t>
      </w:r>
    </w:p>
    <w:p>
      <w:pPr>
        <w:pStyle w:val="FirstParagraph"/>
      </w:pPr>
      <w:r>
        <w:t xml:space="preserve">Commands shall respect current application state.</w:t>
      </w:r>
    </w:p>
    <w:p>
      <w:pPr>
        <w:pStyle w:val="BodyText"/>
      </w:pPr>
      <w:r>
        <w:t xml:space="preserve">Unavailable commands shall be disabled or omitted.</w:t>
      </w:r>
    </w:p>
    <w:p>
      <w:r>
        <w:pict>
          <v:rect style="width:0;height:1.5pt" o:hralign="center" o:hrstd="t" o:hr="t"/>
        </w:pict>
      </w:r>
    </w:p>
    <w:bookmarkEnd w:id="30"/>
    <w:bookmarkStart w:id="31" w:name="keyboard-interaction"/>
    <w:p>
      <w:pPr>
        <w:pStyle w:val="Heading1"/>
      </w:pPr>
      <w:r>
        <w:t xml:space="preserve">Keyboard Interaction</w:t>
      </w:r>
    </w:p>
    <w:p>
      <w:pPr>
        <w:pStyle w:val="FirstParagraph"/>
      </w:pPr>
      <w:r>
        <w:t xml:space="preserve">Professional workflows shall support efficient keyboard interaction.</w:t>
      </w:r>
    </w:p>
    <w:p>
      <w:pPr>
        <w:pStyle w:val="BodyText"/>
      </w:pPr>
      <w:r>
        <w:t xml:space="preserve">Where practical:</w:t>
      </w:r>
    </w:p>
    <w:p>
      <w:pPr>
        <w:pStyle w:val="Compact"/>
        <w:numPr>
          <w:ilvl w:val="0"/>
          <w:numId w:val="1028"/>
        </w:numPr>
      </w:pPr>
      <w:r>
        <w:t xml:space="preserve">tables support keyboard navigation</w:t>
      </w:r>
    </w:p>
    <w:p>
      <w:pPr>
        <w:pStyle w:val="Compact"/>
        <w:numPr>
          <w:ilvl w:val="0"/>
          <w:numId w:val="1028"/>
        </w:numPr>
      </w:pPr>
      <w:r>
        <w:t xml:space="preserve">dialogs support Enter and Escape</w:t>
      </w:r>
    </w:p>
    <w:p>
      <w:pPr>
        <w:pStyle w:val="Compact"/>
        <w:numPr>
          <w:ilvl w:val="0"/>
          <w:numId w:val="1028"/>
        </w:numPr>
      </w:pPr>
      <w:r>
        <w:t xml:space="preserve">common actions provide shortcuts</w:t>
      </w:r>
    </w:p>
    <w:p>
      <w:pPr>
        <w:pStyle w:val="Compact"/>
        <w:numPr>
          <w:ilvl w:val="0"/>
          <w:numId w:val="1028"/>
        </w:numPr>
      </w:pPr>
      <w:r>
        <w:t xml:space="preserve">focus movement remains predictable</w:t>
      </w:r>
    </w:p>
    <w:p>
      <w:pPr>
        <w:pStyle w:val="Compact"/>
        <w:numPr>
          <w:ilvl w:val="0"/>
          <w:numId w:val="1028"/>
        </w:numPr>
      </w:pPr>
      <w:r>
        <w:t xml:space="preserve">Command Palette is keyboard accessible</w:t>
      </w:r>
    </w:p>
    <w:p>
      <w:pPr>
        <w:pStyle w:val="FirstParagraph"/>
      </w:pPr>
      <w:r>
        <w:t xml:space="preserve">Keyboard shortcuts shall be documented and consistent.</w:t>
      </w:r>
    </w:p>
    <w:p>
      <w:r>
        <w:pict>
          <v:rect style="width:0;height:1.5pt" o:hralign="center" o:hrstd="t" o:hr="t"/>
        </w:pict>
      </w:r>
    </w:p>
    <w:bookmarkEnd w:id="31"/>
    <w:bookmarkStart w:id="32" w:name="mouse-interaction"/>
    <w:p>
      <w:pPr>
        <w:pStyle w:val="Heading1"/>
      </w:pPr>
      <w:r>
        <w:t xml:space="preserve">Mouse Interaction</w:t>
      </w:r>
    </w:p>
    <w:p>
      <w:pPr>
        <w:pStyle w:val="FirstParagraph"/>
      </w:pPr>
      <w:r>
        <w:t xml:space="preserve">The UI shall support:</w:t>
      </w:r>
    </w:p>
    <w:p>
      <w:pPr>
        <w:pStyle w:val="Compact"/>
        <w:numPr>
          <w:ilvl w:val="0"/>
          <w:numId w:val="1029"/>
        </w:numPr>
      </w:pPr>
      <w:r>
        <w:t xml:space="preserve">single selection</w:t>
      </w:r>
    </w:p>
    <w:p>
      <w:pPr>
        <w:pStyle w:val="Compact"/>
        <w:numPr>
          <w:ilvl w:val="0"/>
          <w:numId w:val="1029"/>
        </w:numPr>
      </w:pPr>
      <w:r>
        <w:t xml:space="preserve">multi-selection where appropriate</w:t>
      </w:r>
    </w:p>
    <w:p>
      <w:pPr>
        <w:pStyle w:val="Compact"/>
        <w:numPr>
          <w:ilvl w:val="0"/>
          <w:numId w:val="1029"/>
        </w:numPr>
      </w:pPr>
      <w:r>
        <w:t xml:space="preserve">drag and drop where useful</w:t>
      </w:r>
    </w:p>
    <w:p>
      <w:pPr>
        <w:pStyle w:val="Compact"/>
        <w:numPr>
          <w:ilvl w:val="0"/>
          <w:numId w:val="1029"/>
        </w:numPr>
      </w:pPr>
      <w:r>
        <w:t xml:space="preserve">context menus</w:t>
      </w:r>
    </w:p>
    <w:p>
      <w:pPr>
        <w:pStyle w:val="Compact"/>
        <w:numPr>
          <w:ilvl w:val="0"/>
          <w:numId w:val="1029"/>
        </w:numPr>
      </w:pPr>
      <w:r>
        <w:t xml:space="preserve">docking</w:t>
      </w:r>
    </w:p>
    <w:p>
      <w:pPr>
        <w:pStyle w:val="Compact"/>
        <w:numPr>
          <w:ilvl w:val="0"/>
          <w:numId w:val="1029"/>
        </w:numPr>
      </w:pPr>
      <w:r>
        <w:t xml:space="preserve">resizing</w:t>
      </w:r>
    </w:p>
    <w:p>
      <w:pPr>
        <w:pStyle w:val="FirstParagraph"/>
      </w:pPr>
      <w:r>
        <w:t xml:space="preserve">Avoid hidden mouse-only actions for critical workflows.</w:t>
      </w:r>
    </w:p>
    <w:p>
      <w:r>
        <w:pict>
          <v:rect style="width:0;height:1.5pt" o:hralign="center" o:hrstd="t" o:hr="t"/>
        </w:pict>
      </w:r>
    </w:p>
    <w:bookmarkEnd w:id="32"/>
    <w:bookmarkStart w:id="33" w:name="notifications"/>
    <w:p>
      <w:pPr>
        <w:pStyle w:val="Heading1"/>
      </w:pPr>
      <w:r>
        <w:t xml:space="preserve">Notifications</w:t>
      </w:r>
    </w:p>
    <w:p>
      <w:pPr>
        <w:pStyle w:val="FirstParagraph"/>
      </w:pPr>
      <w:r>
        <w:t xml:space="preserve">Notifications shall communicate operationally relevant information.</w:t>
      </w:r>
    </w:p>
    <w:p>
      <w:pPr>
        <w:pStyle w:val="BodyText"/>
      </w:pPr>
      <w:r>
        <w:t xml:space="preserve">Notification levels:</w:t>
      </w:r>
    </w:p>
    <w:p>
      <w:pPr>
        <w:pStyle w:val="Compact"/>
        <w:numPr>
          <w:ilvl w:val="0"/>
          <w:numId w:val="1030"/>
        </w:numPr>
      </w:pPr>
      <w:r>
        <w:t xml:space="preserve">Information</w:t>
      </w:r>
    </w:p>
    <w:p>
      <w:pPr>
        <w:pStyle w:val="Compact"/>
        <w:numPr>
          <w:ilvl w:val="0"/>
          <w:numId w:val="1030"/>
        </w:numPr>
      </w:pPr>
      <w:r>
        <w:t xml:space="preserve">Warning</w:t>
      </w:r>
    </w:p>
    <w:p>
      <w:pPr>
        <w:pStyle w:val="Compact"/>
        <w:numPr>
          <w:ilvl w:val="0"/>
          <w:numId w:val="1030"/>
        </w:numPr>
      </w:pPr>
      <w:r>
        <w:t xml:space="preserve">Error</w:t>
      </w:r>
    </w:p>
    <w:p>
      <w:pPr>
        <w:pStyle w:val="Compact"/>
        <w:numPr>
          <w:ilvl w:val="0"/>
          <w:numId w:val="1030"/>
        </w:numPr>
      </w:pPr>
      <w:r>
        <w:t xml:space="preserve">Critical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1"/>
        </w:numPr>
      </w:pPr>
      <w:r>
        <w:t xml:space="preserve">broker disconnected</w:t>
      </w:r>
    </w:p>
    <w:p>
      <w:pPr>
        <w:pStyle w:val="Compact"/>
        <w:numPr>
          <w:ilvl w:val="0"/>
          <w:numId w:val="1031"/>
        </w:numPr>
      </w:pPr>
      <w:r>
        <w:t xml:space="preserve">market data stale</w:t>
      </w:r>
    </w:p>
    <w:p>
      <w:pPr>
        <w:pStyle w:val="Compact"/>
        <w:numPr>
          <w:ilvl w:val="0"/>
          <w:numId w:val="1031"/>
        </w:numPr>
      </w:pPr>
      <w:r>
        <w:t xml:space="preserve">order rejected</w:t>
      </w:r>
    </w:p>
    <w:p>
      <w:pPr>
        <w:pStyle w:val="Compact"/>
        <w:numPr>
          <w:ilvl w:val="0"/>
          <w:numId w:val="1031"/>
        </w:numPr>
      </w:pPr>
      <w:r>
        <w:t xml:space="preserve">reconciliation discrepancy</w:t>
      </w:r>
    </w:p>
    <w:p>
      <w:pPr>
        <w:pStyle w:val="Compact"/>
        <w:numPr>
          <w:ilvl w:val="0"/>
          <w:numId w:val="1031"/>
        </w:numPr>
      </w:pPr>
      <w:r>
        <w:t xml:space="preserve">background service failure</w:t>
      </w:r>
    </w:p>
    <w:p>
      <w:pPr>
        <w:pStyle w:val="FirstParagraph"/>
      </w:pPr>
      <w:r>
        <w:t xml:space="preserve">Notifications shall not be used for routine noise.</w:t>
      </w:r>
    </w:p>
    <w:p>
      <w:pPr>
        <w:pStyle w:val="BodyText"/>
      </w:pPr>
      <w:r>
        <w:t xml:space="preserve">Critical trading events shall remain visible until appropriately handled.</w:t>
      </w:r>
    </w:p>
    <w:p>
      <w:r>
        <w:pict>
          <v:rect style="width:0;height:1.5pt" o:hralign="center" o:hrstd="t" o:hr="t"/>
        </w:pict>
      </w:r>
    </w:p>
    <w:bookmarkEnd w:id="33"/>
    <w:bookmarkStart w:id="34" w:name="order-workflow-ui"/>
    <w:p>
      <w:pPr>
        <w:pStyle w:val="Heading1"/>
      </w:pPr>
      <w:r>
        <w:t xml:space="preserve">Order Workflow UI</w:t>
      </w:r>
    </w:p>
    <w:p>
      <w:pPr>
        <w:pStyle w:val="FirstParagraph"/>
      </w:pPr>
      <w:r>
        <w:t xml:space="preserve">Order workflows are business-critical.</w:t>
      </w:r>
    </w:p>
    <w:p>
      <w:pPr>
        <w:pStyle w:val="BodyText"/>
      </w:pPr>
      <w:r>
        <w:t xml:space="preserve">Order Entry shall clearly display:</w:t>
      </w:r>
    </w:p>
    <w:p>
      <w:pPr>
        <w:pStyle w:val="Compact"/>
        <w:numPr>
          <w:ilvl w:val="0"/>
          <w:numId w:val="1032"/>
        </w:numPr>
      </w:pPr>
      <w:r>
        <w:t xml:space="preserve">instrument</w:t>
      </w:r>
    </w:p>
    <w:p>
      <w:pPr>
        <w:pStyle w:val="Compact"/>
        <w:numPr>
          <w:ilvl w:val="0"/>
          <w:numId w:val="1032"/>
        </w:numPr>
      </w:pPr>
      <w:r>
        <w:t xml:space="preserve">action</w:t>
      </w:r>
    </w:p>
    <w:p>
      <w:pPr>
        <w:pStyle w:val="Compact"/>
        <w:numPr>
          <w:ilvl w:val="0"/>
          <w:numId w:val="1032"/>
        </w:numPr>
      </w:pPr>
      <w:r>
        <w:t xml:space="preserve">quantity</w:t>
      </w:r>
    </w:p>
    <w:p>
      <w:pPr>
        <w:pStyle w:val="Compact"/>
        <w:numPr>
          <w:ilvl w:val="0"/>
          <w:numId w:val="1032"/>
        </w:numPr>
      </w:pPr>
      <w:r>
        <w:t xml:space="preserve">order type</w:t>
      </w:r>
    </w:p>
    <w:p>
      <w:pPr>
        <w:pStyle w:val="Compact"/>
        <w:numPr>
          <w:ilvl w:val="0"/>
          <w:numId w:val="1032"/>
        </w:numPr>
      </w:pPr>
      <w:r>
        <w:t xml:space="preserve">price parameters</w:t>
      </w:r>
    </w:p>
    <w:p>
      <w:pPr>
        <w:pStyle w:val="Compact"/>
        <w:numPr>
          <w:ilvl w:val="0"/>
          <w:numId w:val="1032"/>
        </w:numPr>
      </w:pPr>
      <w:r>
        <w:t xml:space="preserve">validation state</w:t>
      </w:r>
    </w:p>
    <w:p>
      <w:pPr>
        <w:pStyle w:val="FirstParagraph"/>
      </w:pPr>
      <w:r>
        <w:t xml:space="preserve">Before submission, the user shall be able to review relevant order parameters.</w:t>
      </w:r>
    </w:p>
    <w:p>
      <w:pPr>
        <w:pStyle w:val="BodyText"/>
      </w:pPr>
      <w:r>
        <w:t xml:space="preserve">Invalid orders shall not be submitted.</w:t>
      </w:r>
    </w:p>
    <w:p>
      <w:pPr>
        <w:pStyle w:val="BodyText"/>
      </w:pPr>
      <w:r>
        <w:t xml:space="preserve">Broker acknowledgement, rejection and execution state shall be visible.</w:t>
      </w:r>
    </w:p>
    <w:p>
      <w:pPr>
        <w:pStyle w:val="BodyText"/>
      </w:pPr>
      <w:r>
        <w:t xml:space="preserve">The UI shall not imply successful submission before broker acknowledgement is available.</w:t>
      </w:r>
    </w:p>
    <w:p>
      <w:r>
        <w:pict>
          <v:rect style="width:0;height:1.5pt" o:hralign="center" o:hrstd="t" o:hr="t"/>
        </w:pict>
      </w:r>
    </w:p>
    <w:bookmarkEnd w:id="34"/>
    <w:bookmarkStart w:id="35" w:name="destructive-and-critical-actions"/>
    <w:p>
      <w:pPr>
        <w:pStyle w:val="Heading1"/>
      </w:pPr>
      <w:r>
        <w:t xml:space="preserve">Destructive and Critical Actions</w:t>
      </w:r>
    </w:p>
    <w:p>
      <w:pPr>
        <w:pStyle w:val="FirstParagraph"/>
      </w:pPr>
      <w:r>
        <w:t xml:space="preserve">Critical actions require explicit interaction.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3"/>
        </w:numPr>
      </w:pPr>
      <w:r>
        <w:t xml:space="preserve">order submission</w:t>
      </w:r>
    </w:p>
    <w:p>
      <w:pPr>
        <w:pStyle w:val="Compact"/>
        <w:numPr>
          <w:ilvl w:val="0"/>
          <w:numId w:val="1033"/>
        </w:numPr>
      </w:pPr>
      <w:r>
        <w:t xml:space="preserve">order cancellation</w:t>
      </w:r>
    </w:p>
    <w:p>
      <w:pPr>
        <w:pStyle w:val="Compact"/>
        <w:numPr>
          <w:ilvl w:val="0"/>
          <w:numId w:val="1033"/>
        </w:numPr>
      </w:pPr>
      <w:r>
        <w:t xml:space="preserve">position close</w:t>
      </w:r>
    </w:p>
    <w:p>
      <w:pPr>
        <w:pStyle w:val="Compact"/>
        <w:numPr>
          <w:ilvl w:val="0"/>
          <w:numId w:val="1033"/>
        </w:numPr>
      </w:pPr>
      <w:r>
        <w:t xml:space="preserve">configuration reset</w:t>
      </w:r>
    </w:p>
    <w:p>
      <w:pPr>
        <w:pStyle w:val="Compact"/>
        <w:numPr>
          <w:ilvl w:val="0"/>
          <w:numId w:val="1033"/>
        </w:numPr>
      </w:pPr>
      <w:r>
        <w:t xml:space="preserve">workspace reset</w:t>
      </w:r>
    </w:p>
    <w:p>
      <w:pPr>
        <w:pStyle w:val="FirstParagraph"/>
      </w:pPr>
      <w:r>
        <w:t xml:space="preserve">Confirmation requirements shall depend on operational risk.</w:t>
      </w:r>
    </w:p>
    <w:p>
      <w:pPr>
        <w:pStyle w:val="BodyText"/>
      </w:pPr>
      <w:r>
        <w:t xml:space="preserve">Avoid confirmation dialogs for routine low-risk actions.</w:t>
      </w:r>
    </w:p>
    <w:p>
      <w:pPr>
        <w:pStyle w:val="BodyText"/>
      </w:pPr>
      <w:r>
        <w:t xml:space="preserve">Critical actions shall not be triggered accidentally through ambiguous controls.</w:t>
      </w:r>
    </w:p>
    <w:p>
      <w:r>
        <w:pict>
          <v:rect style="width:0;height:1.5pt" o:hralign="center" o:hrstd="t" o:hr="t"/>
        </w:pict>
      </w:r>
    </w:p>
    <w:bookmarkEnd w:id="35"/>
    <w:bookmarkStart w:id="36" w:name="portfolio-and-risk-ui"/>
    <w:p>
      <w:pPr>
        <w:pStyle w:val="Heading1"/>
      </w:pPr>
      <w:r>
        <w:t xml:space="preserve">Portfolio and Risk UI</w:t>
      </w:r>
    </w:p>
    <w:p>
      <w:pPr>
        <w:pStyle w:val="FirstParagraph"/>
      </w:pPr>
      <w:r>
        <w:t xml:space="preserve">Portfolio and risk information shall clearly identify:</w:t>
      </w:r>
    </w:p>
    <w:p>
      <w:pPr>
        <w:pStyle w:val="Compact"/>
        <w:numPr>
          <w:ilvl w:val="0"/>
          <w:numId w:val="1034"/>
        </w:numPr>
      </w:pPr>
      <w:r>
        <w:t xml:space="preserve">current state</w:t>
      </w:r>
    </w:p>
    <w:p>
      <w:pPr>
        <w:pStyle w:val="Compact"/>
        <w:numPr>
          <w:ilvl w:val="0"/>
          <w:numId w:val="1034"/>
        </w:numPr>
      </w:pPr>
      <w:r>
        <w:t xml:space="preserve">unavailable state</w:t>
      </w:r>
    </w:p>
    <w:p>
      <w:pPr>
        <w:pStyle w:val="Compact"/>
        <w:numPr>
          <w:ilvl w:val="0"/>
          <w:numId w:val="1034"/>
        </w:numPr>
      </w:pPr>
      <w:r>
        <w:t xml:space="preserve">stale state</w:t>
      </w:r>
    </w:p>
    <w:p>
      <w:pPr>
        <w:pStyle w:val="Compact"/>
        <w:numPr>
          <w:ilvl w:val="0"/>
          <w:numId w:val="1034"/>
        </w:numPr>
      </w:pPr>
      <w:r>
        <w:t xml:space="preserve">source where relevant</w:t>
      </w:r>
    </w:p>
    <w:p>
      <w:pPr>
        <w:pStyle w:val="Compact"/>
        <w:numPr>
          <w:ilvl w:val="0"/>
          <w:numId w:val="1034"/>
        </w:numPr>
      </w:pPr>
      <w:r>
        <w:t xml:space="preserve">timestamp where relevant</w:t>
      </w:r>
    </w:p>
    <w:p>
      <w:pPr>
        <w:pStyle w:val="FirstParagraph"/>
      </w:pPr>
      <w:r>
        <w:t xml:space="preserve">Local and broker-derived state shall remain distinguishable where operationally important.</w:t>
      </w:r>
    </w:p>
    <w:p>
      <w:pPr>
        <w:pStyle w:val="BodyText"/>
      </w:pPr>
      <w:r>
        <w:t xml:space="preserve">Reconciliation discrepancies shall be visible.</w:t>
      </w:r>
    </w:p>
    <w:p>
      <w:r>
        <w:pict>
          <v:rect style="width:0;height:1.5pt" o:hralign="center" o:hrstd="t" o:hr="t"/>
        </w:pict>
      </w:r>
    </w:p>
    <w:bookmarkEnd w:id="36"/>
    <w:bookmarkStart w:id="37" w:name="visual-design"/>
    <w:p>
      <w:pPr>
        <w:pStyle w:val="Heading1"/>
      </w:pPr>
      <w:r>
        <w:t xml:space="preserve">Visual Design</w:t>
      </w:r>
    </w:p>
    <w:p>
      <w:pPr>
        <w:pStyle w:val="FirstParagraph"/>
      </w:pPr>
      <w:r>
        <w:t xml:space="preserve">The Trading Cockpit shall use:</w:t>
      </w:r>
    </w:p>
    <w:p>
      <w:pPr>
        <w:pStyle w:val="Compact"/>
        <w:numPr>
          <w:ilvl w:val="0"/>
          <w:numId w:val="1035"/>
        </w:numPr>
      </w:pPr>
      <w:r>
        <w:t xml:space="preserve">consistent spacing</w:t>
      </w:r>
    </w:p>
    <w:p>
      <w:pPr>
        <w:pStyle w:val="Compact"/>
        <w:numPr>
          <w:ilvl w:val="0"/>
          <w:numId w:val="1035"/>
        </w:numPr>
      </w:pPr>
      <w:r>
        <w:t xml:space="preserve">consistent typography</w:t>
      </w:r>
    </w:p>
    <w:p>
      <w:pPr>
        <w:pStyle w:val="Compact"/>
        <w:numPr>
          <w:ilvl w:val="0"/>
          <w:numId w:val="1035"/>
        </w:numPr>
      </w:pPr>
      <w:r>
        <w:t xml:space="preserve">consistent component sizing</w:t>
      </w:r>
    </w:p>
    <w:p>
      <w:pPr>
        <w:pStyle w:val="Compact"/>
        <w:numPr>
          <w:ilvl w:val="0"/>
          <w:numId w:val="1035"/>
        </w:numPr>
      </w:pPr>
      <w:r>
        <w:t xml:space="preserve">semantic visual indicators</w:t>
      </w:r>
    </w:p>
    <w:p>
      <w:pPr>
        <w:pStyle w:val="Compact"/>
        <w:numPr>
          <w:ilvl w:val="0"/>
          <w:numId w:val="1035"/>
        </w:numPr>
      </w:pPr>
      <w:r>
        <w:t xml:space="preserve">restrained visual hierarchy</w:t>
      </w:r>
    </w:p>
    <w:p>
      <w:pPr>
        <w:pStyle w:val="Compact"/>
        <w:numPr>
          <w:ilvl w:val="0"/>
          <w:numId w:val="1035"/>
        </w:numPr>
      </w:pPr>
      <w:r>
        <w:t xml:space="preserve">professional information density</w:t>
      </w:r>
    </w:p>
    <w:p>
      <w:pPr>
        <w:pStyle w:val="FirstParagraph"/>
      </w:pPr>
      <w:r>
        <w:t xml:space="preserve">Avoid excessive:</w:t>
      </w:r>
    </w:p>
    <w:p>
      <w:pPr>
        <w:pStyle w:val="Compact"/>
        <w:numPr>
          <w:ilvl w:val="0"/>
          <w:numId w:val="1036"/>
        </w:numPr>
      </w:pPr>
      <w:r>
        <w:t xml:space="preserve">gradients</w:t>
      </w:r>
    </w:p>
    <w:p>
      <w:pPr>
        <w:pStyle w:val="Compact"/>
        <w:numPr>
          <w:ilvl w:val="0"/>
          <w:numId w:val="1036"/>
        </w:numPr>
      </w:pPr>
      <w:r>
        <w:t xml:space="preserve">animations</w:t>
      </w:r>
    </w:p>
    <w:p>
      <w:pPr>
        <w:pStyle w:val="Compact"/>
        <w:numPr>
          <w:ilvl w:val="0"/>
          <w:numId w:val="1036"/>
        </w:numPr>
      </w:pPr>
      <w:r>
        <w:t xml:space="preserve">decorative shadows</w:t>
      </w:r>
    </w:p>
    <w:p>
      <w:pPr>
        <w:pStyle w:val="Compact"/>
        <w:numPr>
          <w:ilvl w:val="0"/>
          <w:numId w:val="1036"/>
        </w:numPr>
      </w:pPr>
      <w:r>
        <w:t xml:space="preserve">oversized typography</w:t>
      </w:r>
    </w:p>
    <w:p>
      <w:pPr>
        <w:pStyle w:val="Compact"/>
        <w:numPr>
          <w:ilvl w:val="0"/>
          <w:numId w:val="1036"/>
        </w:numPr>
      </w:pPr>
      <w:r>
        <w:t xml:space="preserve">visual effects without functional value</w:t>
      </w:r>
    </w:p>
    <w:p>
      <w:r>
        <w:pict>
          <v:rect style="width:0;height:1.5pt" o:hralign="center" o:hrstd="t" o:hr="t"/>
        </w:pict>
      </w:r>
    </w:p>
    <w:bookmarkEnd w:id="37"/>
    <w:bookmarkStart w:id="38" w:name="colour-usage"/>
    <w:p>
      <w:pPr>
        <w:pStyle w:val="Heading1"/>
      </w:pPr>
      <w:r>
        <w:t xml:space="preserve">Colour Usage</w:t>
      </w:r>
    </w:p>
    <w:p>
      <w:pPr>
        <w:pStyle w:val="FirstParagraph"/>
      </w:pPr>
      <w:r>
        <w:t xml:space="preserve">Colour shall communicate meaning.</w:t>
      </w:r>
    </w:p>
    <w:p>
      <w:pPr>
        <w:pStyle w:val="BodyText"/>
      </w:pPr>
      <w:r>
        <w:t xml:space="preserve">Typical semantic uses:</w:t>
      </w:r>
    </w:p>
    <w:p>
      <w:pPr>
        <w:pStyle w:val="Compact"/>
        <w:numPr>
          <w:ilvl w:val="0"/>
          <w:numId w:val="1037"/>
        </w:numPr>
      </w:pPr>
      <w:r>
        <w:t xml:space="preserve">positive</w:t>
      </w:r>
    </w:p>
    <w:p>
      <w:pPr>
        <w:pStyle w:val="Compact"/>
        <w:numPr>
          <w:ilvl w:val="0"/>
          <w:numId w:val="1037"/>
        </w:numPr>
      </w:pPr>
      <w:r>
        <w:t xml:space="preserve">negative</w:t>
      </w:r>
    </w:p>
    <w:p>
      <w:pPr>
        <w:pStyle w:val="Compact"/>
        <w:numPr>
          <w:ilvl w:val="0"/>
          <w:numId w:val="1037"/>
        </w:numPr>
      </w:pPr>
      <w:r>
        <w:t xml:space="preserve">warning</w:t>
      </w:r>
    </w:p>
    <w:p>
      <w:pPr>
        <w:pStyle w:val="Compact"/>
        <w:numPr>
          <w:ilvl w:val="0"/>
          <w:numId w:val="1037"/>
        </w:numPr>
      </w:pPr>
      <w:r>
        <w:t xml:space="preserve">error</w:t>
      </w:r>
    </w:p>
    <w:p>
      <w:pPr>
        <w:pStyle w:val="Compact"/>
        <w:numPr>
          <w:ilvl w:val="0"/>
          <w:numId w:val="1037"/>
        </w:numPr>
      </w:pPr>
      <w:r>
        <w:t xml:space="preserve">disconnected</w:t>
      </w:r>
    </w:p>
    <w:p>
      <w:pPr>
        <w:pStyle w:val="Compact"/>
        <w:numPr>
          <w:ilvl w:val="0"/>
          <w:numId w:val="1037"/>
        </w:numPr>
      </w:pPr>
      <w:r>
        <w:t xml:space="preserve">stale</w:t>
      </w:r>
    </w:p>
    <w:p>
      <w:pPr>
        <w:pStyle w:val="Compact"/>
        <w:numPr>
          <w:ilvl w:val="0"/>
          <w:numId w:val="1037"/>
        </w:numPr>
      </w:pPr>
      <w:r>
        <w:t xml:space="preserve">selected</w:t>
      </w:r>
    </w:p>
    <w:p>
      <w:pPr>
        <w:pStyle w:val="Compact"/>
        <w:numPr>
          <w:ilvl w:val="0"/>
          <w:numId w:val="1037"/>
        </w:numPr>
      </w:pPr>
      <w:r>
        <w:t xml:space="preserve">active</w:t>
      </w:r>
    </w:p>
    <w:p>
      <w:pPr>
        <w:pStyle w:val="FirstParagraph"/>
      </w:pPr>
      <w:r>
        <w:t xml:space="preserve">Colour shall remain consistent across widgets.</w:t>
      </w:r>
    </w:p>
    <w:p>
      <w:pPr>
        <w:pStyle w:val="BodyText"/>
      </w:pPr>
      <w:r>
        <w:t xml:space="preserve">Colour shall not be the only method of communicating critical state.</w:t>
      </w:r>
    </w:p>
    <w:p>
      <w:r>
        <w:pict>
          <v:rect style="width:0;height:1.5pt" o:hralign="center" o:hrstd="t" o:hr="t"/>
        </w:pict>
      </w:r>
    </w:p>
    <w:bookmarkEnd w:id="38"/>
    <w:bookmarkStart w:id="39" w:name="theme-support"/>
    <w:p>
      <w:pPr>
        <w:pStyle w:val="Heading1"/>
      </w:pPr>
      <w:r>
        <w:t xml:space="preserve">Theme Support</w:t>
      </w:r>
    </w:p>
    <w:p>
      <w:pPr>
        <w:pStyle w:val="FirstParagraph"/>
      </w:pPr>
      <w:r>
        <w:t xml:space="preserve">The Trading Cockpit shall support:</w:t>
      </w:r>
    </w:p>
    <w:p>
      <w:pPr>
        <w:pStyle w:val="Compact"/>
        <w:numPr>
          <w:ilvl w:val="0"/>
          <w:numId w:val="1038"/>
        </w:numPr>
      </w:pPr>
      <w:r>
        <w:t xml:space="preserve">Dark Theme</w:t>
      </w:r>
    </w:p>
    <w:p>
      <w:pPr>
        <w:pStyle w:val="Compact"/>
        <w:numPr>
          <w:ilvl w:val="0"/>
          <w:numId w:val="1038"/>
        </w:numPr>
      </w:pPr>
      <w:r>
        <w:t xml:space="preserve">Light Theme</w:t>
      </w:r>
    </w:p>
    <w:p>
      <w:pPr>
        <w:pStyle w:val="FirstParagraph"/>
      </w:pPr>
      <w:r>
        <w:t xml:space="preserve">The initial implementation may prioritize Dark Theme.</w:t>
      </w:r>
    </w:p>
    <w:p>
      <w:pPr>
        <w:pStyle w:val="BodyText"/>
      </w:pPr>
      <w:r>
        <w:t xml:space="preserve">Widgets shall use shared theme definitions.</w:t>
      </w:r>
    </w:p>
    <w:p>
      <w:pPr>
        <w:pStyle w:val="BodyText"/>
      </w:pPr>
      <w:r>
        <w:t xml:space="preserve">Hard-coded widget-specific colours should be avoided.</w:t>
      </w:r>
    </w:p>
    <w:p>
      <w:r>
        <w:pict>
          <v:rect style="width:0;height:1.5pt" o:hralign="center" o:hrstd="t" o:hr="t"/>
        </w:pict>
      </w:r>
    </w:p>
    <w:bookmarkEnd w:id="39"/>
    <w:bookmarkStart w:id="40" w:name="responsiveness"/>
    <w:p>
      <w:pPr>
        <w:pStyle w:val="Heading1"/>
      </w:pPr>
      <w:r>
        <w:t xml:space="preserve">Responsiveness</w:t>
      </w:r>
    </w:p>
    <w:p>
      <w:pPr>
        <w:pStyle w:val="FirstParagraph"/>
      </w:pPr>
      <w:r>
        <w:t xml:space="preserve">The UI shall remain responsive during normal operation.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39"/>
        </w:numPr>
      </w:pPr>
      <w:r>
        <w:t xml:space="preserve">never block the UI thread with external integrations</w:t>
      </w:r>
    </w:p>
    <w:p>
      <w:pPr>
        <w:pStyle w:val="Compact"/>
        <w:numPr>
          <w:ilvl w:val="0"/>
          <w:numId w:val="1039"/>
        </w:numPr>
      </w:pPr>
      <w:r>
        <w:t xml:space="preserve">avoid uncontrolled refresh rates</w:t>
      </w:r>
    </w:p>
    <w:p>
      <w:pPr>
        <w:pStyle w:val="Compact"/>
        <w:numPr>
          <w:ilvl w:val="0"/>
          <w:numId w:val="1039"/>
        </w:numPr>
      </w:pPr>
      <w:r>
        <w:t xml:space="preserve">update only affected UI components where practical</w:t>
      </w:r>
    </w:p>
    <w:p>
      <w:pPr>
        <w:pStyle w:val="Compact"/>
        <w:numPr>
          <w:ilvl w:val="0"/>
          <w:numId w:val="1039"/>
        </w:numPr>
      </w:pPr>
      <w:r>
        <w:t xml:space="preserve">isolate expensive processing</w:t>
      </w:r>
    </w:p>
    <w:p>
      <w:pPr>
        <w:pStyle w:val="Compact"/>
        <w:numPr>
          <w:ilvl w:val="0"/>
          <w:numId w:val="1039"/>
        </w:numPr>
      </w:pPr>
      <w:r>
        <w:t xml:space="preserve">provide progress feedback for long operations</w:t>
      </w:r>
    </w:p>
    <w:p>
      <w:pPr>
        <w:pStyle w:val="FirstParagraph"/>
      </w:pPr>
      <w:r>
        <w:t xml:space="preserve">UI responsiveness is a product requirement.</w:t>
      </w:r>
    </w:p>
    <w:p>
      <w:r>
        <w:pict>
          <v:rect style="width:0;height:1.5pt" o:hralign="center" o:hrstd="t" o:hr="t"/>
        </w:pict>
      </w:r>
    </w:p>
    <w:bookmarkEnd w:id="40"/>
    <w:bookmarkStart w:id="41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The application should support:</w:t>
      </w:r>
    </w:p>
    <w:p>
      <w:pPr>
        <w:pStyle w:val="Compact"/>
        <w:numPr>
          <w:ilvl w:val="0"/>
          <w:numId w:val="1040"/>
        </w:numPr>
      </w:pPr>
      <w:r>
        <w:t xml:space="preserve">keyboard-only operation</w:t>
      </w:r>
    </w:p>
    <w:p>
      <w:pPr>
        <w:pStyle w:val="Compact"/>
        <w:numPr>
          <w:ilvl w:val="0"/>
          <w:numId w:val="1040"/>
        </w:numPr>
      </w:pPr>
      <w:r>
        <w:t xml:space="preserve">scalable fonts</w:t>
      </w:r>
    </w:p>
    <w:p>
      <w:pPr>
        <w:pStyle w:val="Compact"/>
        <w:numPr>
          <w:ilvl w:val="0"/>
          <w:numId w:val="1040"/>
        </w:numPr>
      </w:pPr>
      <w:r>
        <w:t xml:space="preserve">sufficient contrast</w:t>
      </w:r>
    </w:p>
    <w:p>
      <w:pPr>
        <w:pStyle w:val="Compact"/>
        <w:numPr>
          <w:ilvl w:val="0"/>
          <w:numId w:val="1040"/>
        </w:numPr>
      </w:pPr>
      <w:r>
        <w:t xml:space="preserve">non-colour state indicators</w:t>
      </w:r>
    </w:p>
    <w:p>
      <w:pPr>
        <w:pStyle w:val="Compact"/>
        <w:numPr>
          <w:ilvl w:val="0"/>
          <w:numId w:val="1040"/>
        </w:numPr>
      </w:pPr>
      <w:r>
        <w:t xml:space="preserve">predictable focus behaviour</w:t>
      </w:r>
    </w:p>
    <w:p>
      <w:pPr>
        <w:pStyle w:val="Compact"/>
        <w:numPr>
          <w:ilvl w:val="0"/>
          <w:numId w:val="1040"/>
        </w:numPr>
      </w:pPr>
      <w:r>
        <w:t xml:space="preserve">screen reader compatibility where practical</w:t>
      </w:r>
    </w:p>
    <w:p>
      <w:pPr>
        <w:pStyle w:val="FirstParagraph"/>
      </w:pPr>
      <w:r>
        <w:t xml:space="preserve">Accessibility requirements shall be considered during widget design.</w:t>
      </w:r>
    </w:p>
    <w:p>
      <w:r>
        <w:pict>
          <v:rect style="width:0;height:1.5pt" o:hralign="center" o:hrstd="t" o:hr="t"/>
        </w:pict>
      </w:r>
    </w:p>
    <w:bookmarkEnd w:id="41"/>
    <w:bookmarkStart w:id="42" w:name="ui-state-persistence"/>
    <w:p>
      <w:pPr>
        <w:pStyle w:val="Heading1"/>
      </w:pPr>
      <w:r>
        <w:t xml:space="preserve">UI State Persistence</w:t>
      </w:r>
    </w:p>
    <w:p>
      <w:pPr>
        <w:pStyle w:val="FirstParagraph"/>
      </w:pPr>
      <w:r>
        <w:t xml:space="preserve">Persistent UI state may include:</w:t>
      </w:r>
    </w:p>
    <w:p>
      <w:pPr>
        <w:pStyle w:val="Compact"/>
        <w:numPr>
          <w:ilvl w:val="0"/>
          <w:numId w:val="1041"/>
        </w:numPr>
      </w:pPr>
      <w:r>
        <w:t xml:space="preserve">workspace layout</w:t>
      </w:r>
    </w:p>
    <w:p>
      <w:pPr>
        <w:pStyle w:val="Compact"/>
        <w:numPr>
          <w:ilvl w:val="0"/>
          <w:numId w:val="1041"/>
        </w:numPr>
      </w:pPr>
      <w:r>
        <w:t xml:space="preserve">widget visibility</w:t>
      </w:r>
    </w:p>
    <w:p>
      <w:pPr>
        <w:pStyle w:val="Compact"/>
        <w:numPr>
          <w:ilvl w:val="0"/>
          <w:numId w:val="1041"/>
        </w:numPr>
      </w:pPr>
      <w:r>
        <w:t xml:space="preserve">widget position</w:t>
      </w:r>
    </w:p>
    <w:p>
      <w:pPr>
        <w:pStyle w:val="Compact"/>
        <w:numPr>
          <w:ilvl w:val="0"/>
          <w:numId w:val="1041"/>
        </w:numPr>
      </w:pPr>
      <w:r>
        <w:t xml:space="preserve">widget size</w:t>
      </w:r>
    </w:p>
    <w:p>
      <w:pPr>
        <w:pStyle w:val="Compact"/>
        <w:numPr>
          <w:ilvl w:val="0"/>
          <w:numId w:val="1041"/>
        </w:numPr>
      </w:pPr>
      <w:r>
        <w:t xml:space="preserve">table columns</w:t>
      </w:r>
    </w:p>
    <w:p>
      <w:pPr>
        <w:pStyle w:val="Compact"/>
        <w:numPr>
          <w:ilvl w:val="0"/>
          <w:numId w:val="1041"/>
        </w:numPr>
      </w:pPr>
      <w:r>
        <w:t xml:space="preserve">sorting</w:t>
      </w:r>
    </w:p>
    <w:p>
      <w:pPr>
        <w:pStyle w:val="Compact"/>
        <w:numPr>
          <w:ilvl w:val="0"/>
          <w:numId w:val="1041"/>
        </w:numPr>
      </w:pPr>
      <w:r>
        <w:t xml:space="preserve">filters</w:t>
      </w:r>
    </w:p>
    <w:p>
      <w:pPr>
        <w:pStyle w:val="Compact"/>
        <w:numPr>
          <w:ilvl w:val="0"/>
          <w:numId w:val="1041"/>
        </w:numPr>
      </w:pPr>
      <w:r>
        <w:t xml:space="preserve">selected timeframe</w:t>
      </w:r>
    </w:p>
    <w:p>
      <w:pPr>
        <w:pStyle w:val="FirstParagraph"/>
      </w:pPr>
      <w:r>
        <w:t xml:space="preserve">Business data shall not be stored as UI layout state.</w:t>
      </w:r>
    </w:p>
    <w:p>
      <w:pPr>
        <w:pStyle w:val="BodyText"/>
      </w:pPr>
      <w:r>
        <w:t xml:space="preserve">UI state and business persistence shall remain separate.</w:t>
      </w:r>
    </w:p>
    <w:p>
      <w:r>
        <w:pict>
          <v:rect style="width:0;height:1.5pt" o:hralign="center" o:hrstd="t" o:hr="t"/>
        </w:pict>
      </w:r>
    </w:p>
    <w:bookmarkEnd w:id="42"/>
    <w:bookmarkStart w:id="43" w:name="ui-review-checklist"/>
    <w:p>
      <w:pPr>
        <w:pStyle w:val="Heading1"/>
      </w:pPr>
      <w:r>
        <w:t xml:space="preserve">UI Review Checklist</w:t>
      </w:r>
    </w:p>
    <w:p>
      <w:pPr>
        <w:pStyle w:val="FirstParagraph"/>
      </w:pPr>
      <w:r>
        <w:t xml:space="preserve">Before introducing or changing UI functionality verify:</w:t>
      </w:r>
    </w:p>
    <w:p>
      <w:pPr>
        <w:pStyle w:val="Compact"/>
        <w:numPr>
          <w:ilvl w:val="0"/>
          <w:numId w:val="1042"/>
        </w:numPr>
      </w:pPr>
      <w:r>
        <w:t xml:space="preserve">trading workflow identified</w:t>
      </w:r>
    </w:p>
    <w:p>
      <w:pPr>
        <w:pStyle w:val="Compact"/>
        <w:numPr>
          <w:ilvl w:val="0"/>
          <w:numId w:val="1042"/>
        </w:numPr>
      </w:pPr>
      <w:r>
        <w:t xml:space="preserve">user context preserved</w:t>
      </w:r>
    </w:p>
    <w:p>
      <w:pPr>
        <w:pStyle w:val="Compact"/>
        <w:numPr>
          <w:ilvl w:val="0"/>
          <w:numId w:val="1042"/>
        </w:numPr>
      </w:pPr>
      <w:r>
        <w:t xml:space="preserve">active context visible</w:t>
      </w:r>
    </w:p>
    <w:p>
      <w:pPr>
        <w:pStyle w:val="Compact"/>
        <w:numPr>
          <w:ilvl w:val="0"/>
          <w:numId w:val="1042"/>
        </w:numPr>
      </w:pPr>
      <w:r>
        <w:t xml:space="preserve">loading state defined</w:t>
      </w:r>
    </w:p>
    <w:p>
      <w:pPr>
        <w:pStyle w:val="Compact"/>
        <w:numPr>
          <w:ilvl w:val="0"/>
          <w:numId w:val="1042"/>
        </w:numPr>
      </w:pPr>
      <w:r>
        <w:t xml:space="preserve">stale state defined where relevant</w:t>
      </w:r>
    </w:p>
    <w:p>
      <w:pPr>
        <w:pStyle w:val="Compact"/>
        <w:numPr>
          <w:ilvl w:val="0"/>
          <w:numId w:val="1042"/>
        </w:numPr>
      </w:pPr>
      <w:r>
        <w:t xml:space="preserve">unavailable state defined</w:t>
      </w:r>
    </w:p>
    <w:p>
      <w:pPr>
        <w:pStyle w:val="Compact"/>
        <w:numPr>
          <w:ilvl w:val="0"/>
          <w:numId w:val="1042"/>
        </w:numPr>
      </w:pPr>
      <w:r>
        <w:t xml:space="preserve">disconnected state defined where relevant</w:t>
      </w:r>
    </w:p>
    <w:p>
      <w:pPr>
        <w:pStyle w:val="Compact"/>
        <w:numPr>
          <w:ilvl w:val="0"/>
          <w:numId w:val="1042"/>
        </w:numPr>
      </w:pPr>
      <w:r>
        <w:t xml:space="preserve">error state defined</w:t>
      </w:r>
    </w:p>
    <w:p>
      <w:pPr>
        <w:pStyle w:val="Compact"/>
        <w:numPr>
          <w:ilvl w:val="0"/>
          <w:numId w:val="1042"/>
        </w:numPr>
      </w:pPr>
      <w:r>
        <w:t xml:space="preserve">keyboard interaction considered</w:t>
      </w:r>
    </w:p>
    <w:p>
      <w:pPr>
        <w:pStyle w:val="Compact"/>
        <w:numPr>
          <w:ilvl w:val="0"/>
          <w:numId w:val="1042"/>
        </w:numPr>
      </w:pPr>
      <w:r>
        <w:t xml:space="preserve">information density appropriate</w:t>
      </w:r>
    </w:p>
    <w:p>
      <w:pPr>
        <w:pStyle w:val="Compact"/>
        <w:numPr>
          <w:ilvl w:val="0"/>
          <w:numId w:val="1042"/>
        </w:numPr>
      </w:pPr>
      <w:r>
        <w:t xml:space="preserve">financial values formatted consistently</w:t>
      </w:r>
    </w:p>
    <w:p>
      <w:pPr>
        <w:pStyle w:val="Compact"/>
        <w:numPr>
          <w:ilvl w:val="0"/>
          <w:numId w:val="1042"/>
        </w:numPr>
      </w:pPr>
      <w:r>
        <w:t xml:space="preserve">critical actions protected</w:t>
      </w:r>
    </w:p>
    <w:p>
      <w:pPr>
        <w:pStyle w:val="Compact"/>
        <w:numPr>
          <w:ilvl w:val="0"/>
          <w:numId w:val="1042"/>
        </w:numPr>
      </w:pPr>
      <w:r>
        <w:t xml:space="preserve">UI thread remains responsive</w:t>
      </w:r>
    </w:p>
    <w:p>
      <w:pPr>
        <w:pStyle w:val="Compact"/>
        <w:numPr>
          <w:ilvl w:val="0"/>
          <w:numId w:val="1042"/>
        </w:numPr>
      </w:pPr>
      <w:r>
        <w:t xml:space="preserve">Widget Catalog synchronized</w:t>
      </w:r>
    </w:p>
    <w:p>
      <w:pPr>
        <w:pStyle w:val="Compact"/>
        <w:numPr>
          <w:ilvl w:val="0"/>
          <w:numId w:val="1042"/>
        </w:numPr>
      </w:pPr>
      <w:r>
        <w:t xml:space="preserve">documentation updated</w:t>
      </w:r>
    </w:p>
    <w:p>
      <w:r>
        <w:pict>
          <v:rect style="width:0;height:1.5pt" o:hralign="center" o:hrstd="t" o:hr="t"/>
        </w:pict>
      </w:r>
    </w:p>
    <w:bookmarkEnd w:id="43"/>
    <w:bookmarkStart w:id="44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43"/>
        </w:numPr>
      </w:pPr>
      <w:r>
        <w:t xml:space="preserve">Product_Vision.md</w:t>
      </w:r>
    </w:p>
    <w:p>
      <w:pPr>
        <w:pStyle w:val="Compact"/>
        <w:numPr>
          <w:ilvl w:val="0"/>
          <w:numId w:val="1043"/>
        </w:numPr>
      </w:pPr>
      <w:r>
        <w:t xml:space="preserve">Product_Roadmap.md</w:t>
      </w:r>
    </w:p>
    <w:p>
      <w:pPr>
        <w:pStyle w:val="Compact"/>
        <w:numPr>
          <w:ilvl w:val="0"/>
          <w:numId w:val="1043"/>
        </w:numPr>
      </w:pPr>
      <w:r>
        <w:t xml:space="preserve">Project_Overview.md</w:t>
      </w:r>
    </w:p>
    <w:p>
      <w:pPr>
        <w:pStyle w:val="Compact"/>
        <w:numPr>
          <w:ilvl w:val="0"/>
          <w:numId w:val="1043"/>
        </w:numPr>
      </w:pPr>
      <w:r>
        <w:t xml:space="preserve">Technical_Specifications.md</w:t>
      </w:r>
    </w:p>
    <w:p>
      <w:pPr>
        <w:pStyle w:val="Compact"/>
        <w:numPr>
          <w:ilvl w:val="0"/>
          <w:numId w:val="1043"/>
        </w:numPr>
      </w:pPr>
      <w:r>
        <w:t xml:space="preserve">Widget_Catalog.md</w:t>
      </w:r>
    </w:p>
    <w:p>
      <w:pPr>
        <w:pStyle w:val="Compact"/>
        <w:numPr>
          <w:ilvl w:val="0"/>
          <w:numId w:val="1043"/>
        </w:numPr>
      </w:pPr>
      <w:r>
        <w:t xml:space="preserve">Architecture.md</w:t>
      </w:r>
    </w:p>
    <w:p>
      <w:pPr>
        <w:pStyle w:val="Compact"/>
        <w:numPr>
          <w:ilvl w:val="0"/>
          <w:numId w:val="1043"/>
        </w:numPr>
      </w:pPr>
      <w:r>
        <w:t xml:space="preserve">Domain_Model.md</w:t>
      </w:r>
    </w:p>
    <w:p>
      <w:pPr>
        <w:pStyle w:val="Compact"/>
        <w:numPr>
          <w:ilvl w:val="0"/>
          <w:numId w:val="1043"/>
        </w:numPr>
      </w:pPr>
      <w:r>
        <w:t xml:space="preserve">API_Guidelines.md</w:t>
      </w:r>
    </w:p>
    <w:p>
      <w:pPr>
        <w:pStyle w:val="Compact"/>
        <w:numPr>
          <w:ilvl w:val="0"/>
          <w:numId w:val="1043"/>
        </w:numPr>
      </w:pPr>
      <w:r>
        <w:t xml:space="preserve">Testing_Strategy.md</w:t>
      </w:r>
    </w:p>
    <w:p>
      <w:pPr>
        <w:pStyle w:val="Compact"/>
        <w:numPr>
          <w:ilvl w:val="0"/>
          <w:numId w:val="1043"/>
        </w:numPr>
      </w:pPr>
      <w:r>
        <w:t xml:space="preserve">AGENTS.md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2026-07-06T08:18:56Z</dcterms:created>
  <dcterms:modified xsi:type="dcterms:W3CDTF">2026-07-06T08:18:56Z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