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ser-guide"/>
    <w:p>
      <w:pPr>
        <w:pStyle w:val="Heading1"/>
      </w:pPr>
      <w:r>
        <w:t xml:space="preserve">User Guide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guide explains how users work with Trading Platform Pro and its primary application, the Trading Cockpit.</w:t>
      </w:r>
    </w:p>
    <w:p>
      <w:pPr>
        <w:pStyle w:val="BodyText"/>
      </w:pPr>
      <w:r>
        <w:t xml:space="preserve">The Trading Cockpit is a professional desktop workspace for observing markets, reviewing trading opportunities, preparing decisions, monitoring orders and tracking portfolio state.</w:t>
      </w:r>
    </w:p>
    <w:p>
      <w:pPr>
        <w:pStyle w:val="BodyText"/>
      </w:pPr>
      <w:r>
        <w:t xml:space="preserve">This guide focuses on user-facing behaviour.</w:t>
      </w:r>
    </w:p>
    <w:p>
      <w:pPr>
        <w:pStyle w:val="BodyText"/>
      </w:pPr>
      <w:r>
        <w:t xml:space="preserve">It does not describe internal architecture, source code or implementation details.</w:t>
      </w:r>
    </w:p>
    <w:p>
      <w:r>
        <w:pict>
          <v:rect style="width:0;height:1.5pt" o:hralign="center" o:hrstd="t" o:hr="t"/>
        </w:pict>
      </w:r>
    </w:p>
    <w:bookmarkEnd w:id="10"/>
    <w:bookmarkStart w:id="11" w:name="target-audience"/>
    <w:p>
      <w:pPr>
        <w:pStyle w:val="Heading1"/>
      </w:pPr>
      <w:r>
        <w:t xml:space="preserve">Target Audience</w:t>
      </w:r>
    </w:p>
    <w:p>
      <w:pPr>
        <w:pStyle w:val="FirstParagraph"/>
      </w:pPr>
      <w:r>
        <w:t xml:space="preserve">This guide is intended for:</w:t>
      </w:r>
    </w:p>
    <w:p>
      <w:pPr>
        <w:pStyle w:val="Compact"/>
        <w:numPr>
          <w:ilvl w:val="0"/>
          <w:numId w:val="1001"/>
        </w:numPr>
      </w:pPr>
      <w:r>
        <w:t xml:space="preserve">traders</w:t>
      </w:r>
    </w:p>
    <w:p>
      <w:pPr>
        <w:pStyle w:val="Compact"/>
        <w:numPr>
          <w:ilvl w:val="0"/>
          <w:numId w:val="1001"/>
        </w:numPr>
      </w:pPr>
      <w:r>
        <w:t xml:space="preserve">portfolio users</w:t>
      </w:r>
    </w:p>
    <w:p>
      <w:pPr>
        <w:pStyle w:val="Compact"/>
        <w:numPr>
          <w:ilvl w:val="0"/>
          <w:numId w:val="1001"/>
        </w:numPr>
      </w:pPr>
      <w:r>
        <w:t xml:space="preserve">operators</w:t>
      </w:r>
    </w:p>
    <w:p>
      <w:pPr>
        <w:pStyle w:val="Compact"/>
        <w:numPr>
          <w:ilvl w:val="0"/>
          <w:numId w:val="1001"/>
        </w:numPr>
      </w:pPr>
      <w:r>
        <w:t xml:space="preserve">testers</w:t>
      </w:r>
    </w:p>
    <w:p>
      <w:pPr>
        <w:pStyle w:val="Compact"/>
        <w:numPr>
          <w:ilvl w:val="0"/>
          <w:numId w:val="1001"/>
        </w:numPr>
      </w:pPr>
      <w:r>
        <w:t xml:space="preserve">reviewers</w:t>
      </w:r>
    </w:p>
    <w:p>
      <w:pPr>
        <w:pStyle w:val="Compact"/>
        <w:numPr>
          <w:ilvl w:val="0"/>
          <w:numId w:val="1001"/>
        </w:numPr>
      </w:pPr>
      <w:r>
        <w:t xml:space="preserve">support users</w:t>
      </w:r>
    </w:p>
    <w:p>
      <w:pPr>
        <w:pStyle w:val="FirstParagraph"/>
      </w:pPr>
      <w:r>
        <w:t xml:space="preserve">The guide assumes that users understand basic trading concepts such as:</w:t>
      </w:r>
    </w:p>
    <w:p>
      <w:pPr>
        <w:pStyle w:val="Compact"/>
        <w:numPr>
          <w:ilvl w:val="0"/>
          <w:numId w:val="1002"/>
        </w:numPr>
      </w:pPr>
      <w:r>
        <w:t xml:space="preserve">instruments</w:t>
      </w:r>
    </w:p>
    <w:p>
      <w:pPr>
        <w:pStyle w:val="Compact"/>
        <w:numPr>
          <w:ilvl w:val="0"/>
          <w:numId w:val="1002"/>
        </w:numPr>
      </w:pPr>
      <w:r>
        <w:t xml:space="preserve">quotes</w:t>
      </w:r>
    </w:p>
    <w:p>
      <w:pPr>
        <w:pStyle w:val="Compact"/>
        <w:numPr>
          <w:ilvl w:val="0"/>
          <w:numId w:val="1002"/>
        </w:numPr>
      </w:pPr>
      <w:r>
        <w:t xml:space="preserve">orders</w:t>
      </w:r>
    </w:p>
    <w:p>
      <w:pPr>
        <w:pStyle w:val="Compact"/>
        <w:numPr>
          <w:ilvl w:val="0"/>
          <w:numId w:val="1002"/>
        </w:numPr>
      </w:pPr>
      <w:r>
        <w:t xml:space="preserve">positions</w:t>
      </w:r>
    </w:p>
    <w:p>
      <w:pPr>
        <w:pStyle w:val="Compact"/>
        <w:numPr>
          <w:ilvl w:val="0"/>
          <w:numId w:val="1002"/>
        </w:numPr>
      </w:pPr>
      <w:r>
        <w:t xml:space="preserve">portfolio value</w:t>
      </w:r>
    </w:p>
    <w:p>
      <w:pPr>
        <w:pStyle w:val="Compact"/>
        <w:numPr>
          <w:ilvl w:val="0"/>
          <w:numId w:val="1002"/>
        </w:numPr>
      </w:pPr>
      <w:r>
        <w:t xml:space="preserve">risk</w:t>
      </w:r>
    </w:p>
    <w:p>
      <w:pPr>
        <w:pStyle w:val="Compact"/>
        <w:numPr>
          <w:ilvl w:val="0"/>
          <w:numId w:val="1002"/>
        </w:numPr>
      </w:pPr>
      <w:r>
        <w:t xml:space="preserve">broker connectivity</w:t>
      </w:r>
    </w:p>
    <w:p>
      <w:r>
        <w:pict>
          <v:rect style="width:0;height:1.5pt" o:hralign="center" o:hrstd="t" o:hr="t"/>
        </w:pict>
      </w:r>
    </w:p>
    <w:bookmarkEnd w:id="11"/>
    <w:bookmarkStart w:id="12" w:name="product-overview"/>
    <w:p>
      <w:pPr>
        <w:pStyle w:val="Heading1"/>
      </w:pPr>
      <w:r>
        <w:t xml:space="preserve">Product Overview</w:t>
      </w:r>
    </w:p>
    <w:p>
      <w:pPr>
        <w:pStyle w:val="FirstParagraph"/>
      </w:pPr>
      <w:r>
        <w:t xml:space="preserve">The Trading Cockpit helps users move through the trading workflow:</w:t>
      </w:r>
    </w:p>
    <w:p>
      <w:pPr>
        <w:pStyle w:val="SourceCode"/>
      </w:pPr>
      <w:r>
        <w:rPr>
          <w:rStyle w:val="VerbatimChar"/>
        </w:rPr>
        <w:t xml:space="preserve">Observe Market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Select Instrument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Evaluate Candidate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Portfolio and Risk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Make Decision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Prepare Order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Submit or Cancel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 Order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 Position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Outcome</w:t>
      </w:r>
    </w:p>
    <w:p>
      <w:pPr>
        <w:pStyle w:val="FirstParagraph"/>
      </w:pPr>
      <w:r>
        <w:t xml:space="preserve">The application is designed to keep relevant information visible and to reduce unnecessary context switching.</w:t>
      </w:r>
    </w:p>
    <w:p>
      <w:r>
        <w:pict>
          <v:rect style="width:0;height:1.5pt" o:hralign="center" o:hrstd="t" o:hr="t"/>
        </w:pict>
      </w:r>
    </w:p>
    <w:bookmarkEnd w:id="12"/>
    <w:bookmarkStart w:id="13" w:name="important-safety-notice"/>
    <w:p>
      <w:pPr>
        <w:pStyle w:val="Heading1"/>
      </w:pPr>
      <w:r>
        <w:t xml:space="preserve">Important Safety Notice</w:t>
      </w:r>
    </w:p>
    <w:p>
      <w:pPr>
        <w:pStyle w:val="FirstParagraph"/>
      </w:pPr>
      <w:r>
        <w:t xml:space="preserve">Trading workflows may affect external broker state.</w:t>
      </w:r>
    </w:p>
    <w:p>
      <w:pPr>
        <w:pStyle w:val="BodyText"/>
      </w:pPr>
      <w:r>
        <w:t xml:space="preserve">Users are responsible for reviewing all trading actions before submission.</w:t>
      </w:r>
    </w:p>
    <w:p>
      <w:pPr>
        <w:pStyle w:val="BodyText"/>
      </w:pPr>
      <w:r>
        <w:t xml:space="preserve">The application shall make operational state visible, but it does not remove the need for user review.</w:t>
      </w:r>
    </w:p>
    <w:p>
      <w:pPr>
        <w:pStyle w:val="BodyText"/>
      </w:pPr>
      <w:r>
        <w:t xml:space="preserve">Pay special attention to:</w:t>
      </w:r>
    </w:p>
    <w:p>
      <w:pPr>
        <w:pStyle w:val="Compact"/>
        <w:numPr>
          <w:ilvl w:val="0"/>
          <w:numId w:val="1003"/>
        </w:numPr>
      </w:pPr>
      <w:r>
        <w:t xml:space="preserve">selected environment</w:t>
      </w:r>
    </w:p>
    <w:p>
      <w:pPr>
        <w:pStyle w:val="Compact"/>
        <w:numPr>
          <w:ilvl w:val="0"/>
          <w:numId w:val="1003"/>
        </w:numPr>
      </w:pPr>
      <w:r>
        <w:t xml:space="preserve">selected account</w:t>
      </w:r>
    </w:p>
    <w:p>
      <w:pPr>
        <w:pStyle w:val="Compact"/>
        <w:numPr>
          <w:ilvl w:val="0"/>
          <w:numId w:val="1003"/>
        </w:numPr>
      </w:pPr>
      <w:r>
        <w:t xml:space="preserve">instrument</w:t>
      </w:r>
    </w:p>
    <w:p>
      <w:pPr>
        <w:pStyle w:val="Compact"/>
        <w:numPr>
          <w:ilvl w:val="0"/>
          <w:numId w:val="1003"/>
        </w:numPr>
      </w:pPr>
      <w:r>
        <w:t xml:space="preserve">order side</w:t>
      </w:r>
    </w:p>
    <w:p>
      <w:pPr>
        <w:pStyle w:val="Compact"/>
        <w:numPr>
          <w:ilvl w:val="0"/>
          <w:numId w:val="1003"/>
        </w:numPr>
      </w:pPr>
      <w:r>
        <w:t xml:space="preserve">quantity</w:t>
      </w:r>
    </w:p>
    <w:p>
      <w:pPr>
        <w:pStyle w:val="Compact"/>
        <w:numPr>
          <w:ilvl w:val="0"/>
          <w:numId w:val="1003"/>
        </w:numPr>
      </w:pPr>
      <w:r>
        <w:t xml:space="preserve">order type</w:t>
      </w:r>
    </w:p>
    <w:p>
      <w:pPr>
        <w:pStyle w:val="Compact"/>
        <w:numPr>
          <w:ilvl w:val="0"/>
          <w:numId w:val="1003"/>
        </w:numPr>
      </w:pPr>
      <w:r>
        <w:t xml:space="preserve">price parameters</w:t>
      </w:r>
    </w:p>
    <w:p>
      <w:pPr>
        <w:pStyle w:val="Compact"/>
        <w:numPr>
          <w:ilvl w:val="0"/>
          <w:numId w:val="1003"/>
        </w:numPr>
      </w:pPr>
      <w:r>
        <w:t xml:space="preserve">current market data state</w:t>
      </w:r>
    </w:p>
    <w:p>
      <w:pPr>
        <w:pStyle w:val="Compact"/>
        <w:numPr>
          <w:ilvl w:val="0"/>
          <w:numId w:val="1003"/>
        </w:numPr>
      </w:pPr>
      <w:r>
        <w:t xml:space="preserve">broker connection state</w:t>
      </w:r>
    </w:p>
    <w:p>
      <w:pPr>
        <w:pStyle w:val="Compact"/>
        <w:numPr>
          <w:ilvl w:val="0"/>
          <w:numId w:val="1003"/>
        </w:numPr>
      </w:pPr>
      <w:r>
        <w:t xml:space="preserve">portfolio and risk context</w:t>
      </w:r>
    </w:p>
    <w:p>
      <w:r>
        <w:pict>
          <v:rect style="width:0;height:1.5pt" o:hralign="center" o:hrstd="t" o:hr="t"/>
        </w:pict>
      </w:r>
    </w:p>
    <w:bookmarkEnd w:id="13"/>
    <w:bookmarkStart w:id="14" w:name="paper-and-live-modes"/>
    <w:p>
      <w:pPr>
        <w:pStyle w:val="Heading1"/>
      </w:pPr>
      <w:r>
        <w:t xml:space="preserve">PAPER and LIVE Modes</w:t>
      </w:r>
    </w:p>
    <w:p>
      <w:pPr>
        <w:pStyle w:val="FirstParagraph"/>
      </w:pPr>
      <w:r>
        <w:t xml:space="preserve">The application distinguishes between PAPER and LIVE operation.</w:t>
      </w:r>
    </w:p>
    <w:p>
      <w:pPr>
        <w:pStyle w:val="BodyText"/>
      </w:pPr>
      <w:r>
        <w:t xml:space="preserve">PAPER mode is intended for testing, validation and practice.</w:t>
      </w:r>
    </w:p>
    <w:p>
      <w:pPr>
        <w:pStyle w:val="BodyText"/>
      </w:pPr>
      <w:r>
        <w:t xml:space="preserve">LIVE mode may affect real broker accounts and real capital.</w:t>
      </w:r>
    </w:p>
    <w:p>
      <w:pPr>
        <w:pStyle w:val="BodyText"/>
      </w:pPr>
      <w:r>
        <w:t xml:space="preserve">The active environment shall be visible in the application where operationally relevant.</w:t>
      </w:r>
    </w:p>
    <w:p>
      <w:r>
        <w:pict>
          <v:rect style="width:0;height:1.5pt" o:hralign="center" o:hrstd="t" o:hr="t"/>
        </w:pict>
      </w:r>
    </w:p>
    <w:bookmarkEnd w:id="14"/>
    <w:bookmarkStart w:id="15" w:name="paper-mode"/>
    <w:p>
      <w:pPr>
        <w:pStyle w:val="Heading1"/>
      </w:pPr>
      <w:r>
        <w:t xml:space="preserve">PAPER Mode</w:t>
      </w:r>
    </w:p>
    <w:p>
      <w:pPr>
        <w:pStyle w:val="FirstParagraph"/>
      </w:pPr>
      <w:r>
        <w:t xml:space="preserve">Use PAPER mode for:</w:t>
      </w:r>
    </w:p>
    <w:p>
      <w:pPr>
        <w:pStyle w:val="Compact"/>
        <w:numPr>
          <w:ilvl w:val="0"/>
          <w:numId w:val="1004"/>
        </w:numPr>
      </w:pPr>
      <w:r>
        <w:t xml:space="preserve">workflow validation</w:t>
      </w:r>
    </w:p>
    <w:p>
      <w:pPr>
        <w:pStyle w:val="Compact"/>
        <w:numPr>
          <w:ilvl w:val="0"/>
          <w:numId w:val="1004"/>
        </w:numPr>
      </w:pPr>
      <w:r>
        <w:t xml:space="preserve">broker connectivity testing</w:t>
      </w:r>
    </w:p>
    <w:p>
      <w:pPr>
        <w:pStyle w:val="Compact"/>
        <w:numPr>
          <w:ilvl w:val="0"/>
          <w:numId w:val="1004"/>
        </w:numPr>
      </w:pPr>
      <w:r>
        <w:t xml:space="preserve">order workflow testing</w:t>
      </w:r>
    </w:p>
    <w:p>
      <w:pPr>
        <w:pStyle w:val="Compact"/>
        <w:numPr>
          <w:ilvl w:val="0"/>
          <w:numId w:val="1004"/>
        </w:numPr>
      </w:pPr>
      <w:r>
        <w:t xml:space="preserve">training</w:t>
      </w:r>
    </w:p>
    <w:p>
      <w:pPr>
        <w:pStyle w:val="Compact"/>
        <w:numPr>
          <w:ilvl w:val="0"/>
          <w:numId w:val="1004"/>
        </w:numPr>
      </w:pPr>
      <w:r>
        <w:t xml:space="preserve">operational dry runs</w:t>
      </w:r>
    </w:p>
    <w:p>
      <w:pPr>
        <w:pStyle w:val="Compact"/>
        <w:numPr>
          <w:ilvl w:val="0"/>
          <w:numId w:val="1004"/>
        </w:numPr>
      </w:pPr>
      <w:r>
        <w:t xml:space="preserve">regression validation with external broker boundaries</w:t>
      </w:r>
    </w:p>
    <w:p>
      <w:pPr>
        <w:pStyle w:val="FirstParagraph"/>
      </w:pPr>
      <w:r>
        <w:t xml:space="preserve">PAPER mode may behave differently from LIVE trading due to broker simulation, market conditions or account configuration.</w:t>
      </w:r>
    </w:p>
    <w:p>
      <w:pPr>
        <w:pStyle w:val="BodyText"/>
      </w:pPr>
      <w:r>
        <w:t xml:space="preserve">PAPER validation is not a replacement for careful review before LIVE operation.</w:t>
      </w:r>
    </w:p>
    <w:p>
      <w:r>
        <w:pict>
          <v:rect style="width:0;height:1.5pt" o:hralign="center" o:hrstd="t" o:hr="t"/>
        </w:pict>
      </w:r>
    </w:p>
    <w:bookmarkEnd w:id="15"/>
    <w:bookmarkStart w:id="16" w:name="live-mode"/>
    <w:p>
      <w:pPr>
        <w:pStyle w:val="Heading1"/>
      </w:pPr>
      <w:r>
        <w:t xml:space="preserve">LIVE Mode</w:t>
      </w:r>
    </w:p>
    <w:p>
      <w:pPr>
        <w:pStyle w:val="FirstParagraph"/>
      </w:pPr>
      <w:r>
        <w:t xml:space="preserve">LIVE mode requires explicit user intention.</w:t>
      </w:r>
    </w:p>
    <w:p>
      <w:pPr>
        <w:pStyle w:val="BodyText"/>
      </w:pPr>
      <w:r>
        <w:t xml:space="preserve">Before using LIVE mode verify:</w:t>
      </w:r>
    </w:p>
    <w:p>
      <w:pPr>
        <w:pStyle w:val="Compact"/>
        <w:numPr>
          <w:ilvl w:val="0"/>
          <w:numId w:val="1005"/>
        </w:numPr>
      </w:pPr>
      <w:r>
        <w:t xml:space="preserve">correct account</w:t>
      </w:r>
    </w:p>
    <w:p>
      <w:pPr>
        <w:pStyle w:val="Compact"/>
        <w:numPr>
          <w:ilvl w:val="0"/>
          <w:numId w:val="1005"/>
        </w:numPr>
      </w:pPr>
      <w:r>
        <w:t xml:space="preserve">correct environment</w:t>
      </w:r>
    </w:p>
    <w:p>
      <w:pPr>
        <w:pStyle w:val="Compact"/>
        <w:numPr>
          <w:ilvl w:val="0"/>
          <w:numId w:val="1005"/>
        </w:numPr>
      </w:pPr>
      <w:r>
        <w:t xml:space="preserve">correct instrument</w:t>
      </w:r>
    </w:p>
    <w:p>
      <w:pPr>
        <w:pStyle w:val="Compact"/>
        <w:numPr>
          <w:ilvl w:val="0"/>
          <w:numId w:val="1005"/>
        </w:numPr>
      </w:pPr>
      <w:r>
        <w:t xml:space="preserve">correct quantity</w:t>
      </w:r>
    </w:p>
    <w:p>
      <w:pPr>
        <w:pStyle w:val="Compact"/>
        <w:numPr>
          <w:ilvl w:val="0"/>
          <w:numId w:val="1005"/>
        </w:numPr>
      </w:pPr>
      <w:r>
        <w:t xml:space="preserve">correct order side</w:t>
      </w:r>
    </w:p>
    <w:p>
      <w:pPr>
        <w:pStyle w:val="Compact"/>
        <w:numPr>
          <w:ilvl w:val="0"/>
          <w:numId w:val="1005"/>
        </w:numPr>
      </w:pPr>
      <w:r>
        <w:t xml:space="preserve">correct order type</w:t>
      </w:r>
    </w:p>
    <w:p>
      <w:pPr>
        <w:pStyle w:val="Compact"/>
        <w:numPr>
          <w:ilvl w:val="0"/>
          <w:numId w:val="1005"/>
        </w:numPr>
      </w:pPr>
      <w:r>
        <w:t xml:space="preserve">current broker connection state</w:t>
      </w:r>
    </w:p>
    <w:p>
      <w:pPr>
        <w:pStyle w:val="Compact"/>
        <w:numPr>
          <w:ilvl w:val="0"/>
          <w:numId w:val="1005"/>
        </w:numPr>
      </w:pPr>
      <w:r>
        <w:t xml:space="preserve">current market data state</w:t>
      </w:r>
    </w:p>
    <w:p>
      <w:pPr>
        <w:pStyle w:val="Compact"/>
        <w:numPr>
          <w:ilvl w:val="0"/>
          <w:numId w:val="1005"/>
        </w:numPr>
      </w:pPr>
      <w:r>
        <w:t xml:space="preserve">available portfolio and risk context</w:t>
      </w:r>
    </w:p>
    <w:p>
      <w:pPr>
        <w:pStyle w:val="FirstParagraph"/>
      </w:pPr>
      <w:r>
        <w:t xml:space="preserve">Do not use LIVE trading to test basic application behaviour.</w:t>
      </w:r>
    </w:p>
    <w:p>
      <w:pPr>
        <w:pStyle w:val="BodyText"/>
      </w:pPr>
      <w:r>
        <w:t xml:space="preserve">Basic workflow validation should be completed in deterministic tests and PAPER mode first.</w:t>
      </w:r>
    </w:p>
    <w:p>
      <w:r>
        <w:pict>
          <v:rect style="width:0;height:1.5pt" o:hralign="center" o:hrstd="t" o:hr="t"/>
        </w:pict>
      </w:r>
    </w:p>
    <w:bookmarkEnd w:id="16"/>
    <w:bookmarkStart w:id="17" w:name="starting-the-application"/>
    <w:p>
      <w:pPr>
        <w:pStyle w:val="Heading1"/>
      </w:pPr>
      <w:r>
        <w:t xml:space="preserve">Starting the Application</w:t>
      </w:r>
    </w:p>
    <w:p>
      <w:pPr>
        <w:pStyle w:val="FirstParagraph"/>
      </w:pPr>
      <w:r>
        <w:t xml:space="preserve">When the application starts, users should verify:</w:t>
      </w:r>
    </w:p>
    <w:p>
      <w:pPr>
        <w:pStyle w:val="Compact"/>
        <w:numPr>
          <w:ilvl w:val="0"/>
          <w:numId w:val="1006"/>
        </w:numPr>
      </w:pPr>
      <w:r>
        <w:t xml:space="preserve">Application opened successfully.</w:t>
      </w:r>
    </w:p>
    <w:p>
      <w:pPr>
        <w:pStyle w:val="Compact"/>
        <w:numPr>
          <w:ilvl w:val="0"/>
          <w:numId w:val="1006"/>
        </w:numPr>
      </w:pPr>
      <w:r>
        <w:t xml:space="preserve">Runtime status is healthy or clearly degraded.</w:t>
      </w:r>
    </w:p>
    <w:p>
      <w:pPr>
        <w:pStyle w:val="Compact"/>
        <w:numPr>
          <w:ilvl w:val="0"/>
          <w:numId w:val="1006"/>
        </w:numPr>
      </w:pPr>
      <w:r>
        <w:t xml:space="preserve">Broker connection state is visible.</w:t>
      </w:r>
    </w:p>
    <w:p>
      <w:pPr>
        <w:pStyle w:val="Compact"/>
        <w:numPr>
          <w:ilvl w:val="0"/>
          <w:numId w:val="1006"/>
        </w:numPr>
      </w:pPr>
      <w:r>
        <w:t xml:space="preserve">Market data connection state is visible.</w:t>
      </w:r>
    </w:p>
    <w:p>
      <w:pPr>
        <w:pStyle w:val="Compact"/>
        <w:numPr>
          <w:ilvl w:val="0"/>
          <w:numId w:val="1006"/>
        </w:numPr>
      </w:pPr>
      <w:r>
        <w:t xml:space="preserve">Active environment is correct.</w:t>
      </w:r>
    </w:p>
    <w:p>
      <w:pPr>
        <w:pStyle w:val="Compact"/>
        <w:numPr>
          <w:ilvl w:val="0"/>
          <w:numId w:val="1006"/>
        </w:numPr>
      </w:pPr>
      <w:r>
        <w:t xml:space="preserve">Workspace was restored as expected.</w:t>
      </w:r>
    </w:p>
    <w:p>
      <w:pPr>
        <w:pStyle w:val="Compact"/>
        <w:numPr>
          <w:ilvl w:val="0"/>
          <w:numId w:val="1006"/>
        </w:numPr>
      </w:pPr>
      <w:r>
        <w:t xml:space="preserve">Widgets show meaningful data states.</w:t>
      </w:r>
    </w:p>
    <w:p>
      <w:pPr>
        <w:pStyle w:val="FirstParagraph"/>
      </w:pPr>
      <w:r>
        <w:t xml:space="preserve">If startup fails or the application starts in a degraded state, review the visible status messages and logs where required.</w:t>
      </w:r>
    </w:p>
    <w:p>
      <w:r>
        <w:pict>
          <v:rect style="width:0;height:1.5pt" o:hralign="center" o:hrstd="t" o:hr="t"/>
        </w:pict>
      </w:r>
    </w:p>
    <w:bookmarkEnd w:id="17"/>
    <w:bookmarkStart w:id="18" w:name="main-workspace"/>
    <w:p>
      <w:pPr>
        <w:pStyle w:val="Heading1"/>
      </w:pPr>
      <w:r>
        <w:t xml:space="preserve">Main Workspace</w:t>
      </w:r>
    </w:p>
    <w:p>
      <w:pPr>
        <w:pStyle w:val="FirstParagraph"/>
      </w:pPr>
      <w:r>
        <w:t xml:space="preserve">The Trading Cockpit uses a configurable workspace.</w:t>
      </w:r>
    </w:p>
    <w:p>
      <w:pPr>
        <w:pStyle w:val="BodyText"/>
      </w:pPr>
      <w:r>
        <w:t xml:space="preserve">Users may arrange widgets to support their workflow.</w:t>
      </w:r>
    </w:p>
    <w:p>
      <w:pPr>
        <w:pStyle w:val="BodyText"/>
      </w:pPr>
      <w:r>
        <w:t xml:space="preserve">Typical workspace actions include:</w:t>
      </w:r>
    </w:p>
    <w:p>
      <w:pPr>
        <w:pStyle w:val="Compact"/>
        <w:numPr>
          <w:ilvl w:val="0"/>
          <w:numId w:val="1007"/>
        </w:numPr>
      </w:pPr>
      <w:r>
        <w:t xml:space="preserve">opening widgets</w:t>
      </w:r>
    </w:p>
    <w:p>
      <w:pPr>
        <w:pStyle w:val="Compact"/>
        <w:numPr>
          <w:ilvl w:val="0"/>
          <w:numId w:val="1007"/>
        </w:numPr>
      </w:pPr>
      <w:r>
        <w:t xml:space="preserve">closing widgets</w:t>
      </w:r>
    </w:p>
    <w:p>
      <w:pPr>
        <w:pStyle w:val="Compact"/>
        <w:numPr>
          <w:ilvl w:val="0"/>
          <w:numId w:val="1007"/>
        </w:numPr>
      </w:pPr>
      <w:r>
        <w:t xml:space="preserve">docking widgets</w:t>
      </w:r>
    </w:p>
    <w:p>
      <w:pPr>
        <w:pStyle w:val="Compact"/>
        <w:numPr>
          <w:ilvl w:val="0"/>
          <w:numId w:val="1007"/>
        </w:numPr>
      </w:pPr>
      <w:r>
        <w:t xml:space="preserve">resizing widgets</w:t>
      </w:r>
    </w:p>
    <w:p>
      <w:pPr>
        <w:pStyle w:val="Compact"/>
        <w:numPr>
          <w:ilvl w:val="0"/>
          <w:numId w:val="1007"/>
        </w:numPr>
      </w:pPr>
      <w:r>
        <w:t xml:space="preserve">moving widgets</w:t>
      </w:r>
    </w:p>
    <w:p>
      <w:pPr>
        <w:pStyle w:val="Compact"/>
        <w:numPr>
          <w:ilvl w:val="0"/>
          <w:numId w:val="1007"/>
        </w:numPr>
      </w:pPr>
      <w:r>
        <w:t xml:space="preserve">restoring layouts</w:t>
      </w:r>
    </w:p>
    <w:p>
      <w:pPr>
        <w:pStyle w:val="Compact"/>
        <w:numPr>
          <w:ilvl w:val="0"/>
          <w:numId w:val="1007"/>
        </w:numPr>
      </w:pPr>
      <w:r>
        <w:t xml:space="preserve">changing table columns</w:t>
      </w:r>
    </w:p>
    <w:p>
      <w:pPr>
        <w:pStyle w:val="Compact"/>
        <w:numPr>
          <w:ilvl w:val="0"/>
          <w:numId w:val="1007"/>
        </w:numPr>
      </w:pPr>
      <w:r>
        <w:t xml:space="preserve">applying filters</w:t>
      </w:r>
    </w:p>
    <w:p>
      <w:pPr>
        <w:pStyle w:val="Compact"/>
        <w:numPr>
          <w:ilvl w:val="0"/>
          <w:numId w:val="1007"/>
        </w:numPr>
      </w:pPr>
      <w:r>
        <w:t xml:space="preserve">switching context</w:t>
      </w:r>
    </w:p>
    <w:p>
      <w:pPr>
        <w:pStyle w:val="FirstParagraph"/>
      </w:pPr>
      <w:r>
        <w:t xml:space="preserve">The application should preserve the working context where technically and operationally safe.</w:t>
      </w:r>
    </w:p>
    <w:p>
      <w:r>
        <w:pict>
          <v:rect style="width:0;height:1.5pt" o:hralign="center" o:hrstd="t" o:hr="t"/>
        </w:pict>
      </w:r>
    </w:p>
    <w:bookmarkEnd w:id="18"/>
    <w:bookmarkStart w:id="19" w:name="widgets"/>
    <w:p>
      <w:pPr>
        <w:pStyle w:val="Heading1"/>
      </w:pPr>
      <w:r>
        <w:t xml:space="preserve">Widgets</w:t>
      </w:r>
    </w:p>
    <w:p>
      <w:pPr>
        <w:pStyle w:val="FirstParagraph"/>
      </w:pPr>
      <w:r>
        <w:t xml:space="preserve">Widgets provide focused functionality.</w:t>
      </w:r>
    </w:p>
    <w:p>
      <w:pPr>
        <w:pStyle w:val="BodyText"/>
      </w:pPr>
      <w:r>
        <w:t xml:space="preserve">A widget should have one primary responsibility.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Watchlist</w:t>
      </w:r>
    </w:p>
    <w:p>
      <w:pPr>
        <w:pStyle w:val="Compact"/>
        <w:numPr>
          <w:ilvl w:val="0"/>
          <w:numId w:val="1008"/>
        </w:numPr>
      </w:pPr>
      <w:r>
        <w:t xml:space="preserve">Market Overview</w:t>
      </w:r>
    </w:p>
    <w:p>
      <w:pPr>
        <w:pStyle w:val="Compact"/>
        <w:numPr>
          <w:ilvl w:val="0"/>
          <w:numId w:val="1008"/>
        </w:numPr>
      </w:pPr>
      <w:r>
        <w:t xml:space="preserve">Price Chart</w:t>
      </w:r>
    </w:p>
    <w:p>
      <w:pPr>
        <w:pStyle w:val="Compact"/>
        <w:numPr>
          <w:ilvl w:val="0"/>
          <w:numId w:val="1008"/>
        </w:numPr>
      </w:pPr>
      <w:r>
        <w:t xml:space="preserve">Candidate Review</w:t>
      </w:r>
    </w:p>
    <w:p>
      <w:pPr>
        <w:pStyle w:val="Compact"/>
        <w:numPr>
          <w:ilvl w:val="0"/>
          <w:numId w:val="1008"/>
        </w:numPr>
      </w:pPr>
      <w:r>
        <w:t xml:space="preserve">Decision Center</w:t>
      </w:r>
    </w:p>
    <w:p>
      <w:pPr>
        <w:pStyle w:val="Compact"/>
        <w:numPr>
          <w:ilvl w:val="0"/>
          <w:numId w:val="1008"/>
        </w:numPr>
      </w:pPr>
      <w:r>
        <w:t xml:space="preserve">Order Entry</w:t>
      </w:r>
    </w:p>
    <w:p>
      <w:pPr>
        <w:pStyle w:val="Compact"/>
        <w:numPr>
          <w:ilvl w:val="0"/>
          <w:numId w:val="1008"/>
        </w:numPr>
      </w:pPr>
      <w:r>
        <w:t xml:space="preserve">Orders</w:t>
      </w:r>
    </w:p>
    <w:p>
      <w:pPr>
        <w:pStyle w:val="Compact"/>
        <w:numPr>
          <w:ilvl w:val="0"/>
          <w:numId w:val="1008"/>
        </w:numPr>
      </w:pPr>
      <w:r>
        <w:t xml:space="preserve">Positions</w:t>
      </w:r>
    </w:p>
    <w:p>
      <w:pPr>
        <w:pStyle w:val="Compact"/>
        <w:numPr>
          <w:ilvl w:val="0"/>
          <w:numId w:val="1008"/>
        </w:numPr>
      </w:pPr>
      <w:r>
        <w:t xml:space="preserve">Portfolio</w:t>
      </w:r>
    </w:p>
    <w:p>
      <w:pPr>
        <w:pStyle w:val="Compact"/>
        <w:numPr>
          <w:ilvl w:val="0"/>
          <w:numId w:val="1008"/>
        </w:numPr>
      </w:pPr>
      <w:r>
        <w:t xml:space="preserve">Risk</w:t>
      </w:r>
    </w:p>
    <w:p>
      <w:pPr>
        <w:pStyle w:val="Compact"/>
        <w:numPr>
          <w:ilvl w:val="0"/>
          <w:numId w:val="1008"/>
        </w:numPr>
      </w:pPr>
      <w:r>
        <w:t xml:space="preserve">Notifications</w:t>
      </w:r>
    </w:p>
    <w:p>
      <w:pPr>
        <w:pStyle w:val="FirstParagraph"/>
      </w:pPr>
      <w:r>
        <w:t xml:space="preserve">Widgets may show loading, stale, unavailable, disconnected or error states.</w:t>
      </w:r>
    </w:p>
    <w:p>
      <w:pPr>
        <w:pStyle w:val="BodyText"/>
      </w:pPr>
      <w:r>
        <w:t xml:space="preserve">Users should not assume displayed trading data is current unless the widget indicates a current or ready state.</w:t>
      </w:r>
    </w:p>
    <w:p>
      <w:r>
        <w:pict>
          <v:rect style="width:0;height:1.5pt" o:hralign="center" o:hrstd="t" o:hr="t"/>
        </w:pict>
      </w:r>
    </w:p>
    <w:bookmarkEnd w:id="19"/>
    <w:bookmarkStart w:id="20" w:name="shared-instrument-context"/>
    <w:p>
      <w:pPr>
        <w:pStyle w:val="Heading1"/>
      </w:pPr>
      <w:r>
        <w:t xml:space="preserve">Shared Instrument Context</w:t>
      </w:r>
    </w:p>
    <w:p>
      <w:pPr>
        <w:pStyle w:val="FirstParagraph"/>
      </w:pPr>
      <w:r>
        <w:t xml:space="preserve">Some widgets may share the active instrument context.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Watchlist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Price Chart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Decision Center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Order Entry</w:t>
      </w:r>
    </w:p>
    <w:p>
      <w:pPr>
        <w:pStyle w:val="FirstParagraph"/>
      </w:pPr>
      <w:r>
        <w:t xml:space="preserve">When a user selects an instrument in one widget, other compatible widgets may update automatically.</w:t>
      </w:r>
    </w:p>
    <w:p>
      <w:pPr>
        <w:pStyle w:val="BodyText"/>
      </w:pPr>
      <w:r>
        <w:t xml:space="preserve">Context-aware widgets should clearly show the active instrument.</w:t>
      </w:r>
    </w:p>
    <w:p>
      <w:pPr>
        <w:pStyle w:val="BodyText"/>
      </w:pPr>
      <w:r>
        <w:t xml:space="preserve">If a widget changes context unexpectedly, verify the selected instrument before making decisions or preparing orders.</w:t>
      </w:r>
    </w:p>
    <w:p>
      <w:r>
        <w:pict>
          <v:rect style="width:0;height:1.5pt" o:hralign="center" o:hrstd="t" o:hr="t"/>
        </w:pict>
      </w:r>
    </w:p>
    <w:bookmarkEnd w:id="20"/>
    <w:bookmarkStart w:id="21" w:name="data-states"/>
    <w:p>
      <w:pPr>
        <w:pStyle w:val="Heading1"/>
      </w:pPr>
      <w:r>
        <w:t xml:space="preserve">Data States</w:t>
      </w:r>
    </w:p>
    <w:p>
      <w:pPr>
        <w:pStyle w:val="FirstParagraph"/>
      </w:pPr>
      <w:r>
        <w:t xml:space="preserve">Trading information can have different operational states.</w:t>
      </w:r>
    </w:p>
    <w:p>
      <w:pPr>
        <w:pStyle w:val="BodyText"/>
      </w:pPr>
      <w:r>
        <w:t xml:space="preserve">Common states: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Users should understand these states before relying on displayed information.</w:t>
      </w:r>
    </w:p>
    <w:p>
      <w:r>
        <w:pict>
          <v:rect style="width:0;height:1.5pt" o:hralign="center" o:hrstd="t" o:hr="t"/>
        </w:pict>
      </w:r>
    </w:p>
    <w:bookmarkEnd w:id="21"/>
    <w:bookmarkStart w:id="22" w:name="loading"/>
    <w:p>
      <w:pPr>
        <w:pStyle w:val="Heading1"/>
      </w:pPr>
      <w:r>
        <w:t xml:space="preserve">Loading</w:t>
      </w:r>
    </w:p>
    <w:p>
      <w:pPr>
        <w:pStyle w:val="FirstParagraph"/>
      </w:pPr>
      <w:r>
        <w:t xml:space="preserve">The widget or capability is retrieving or processing data.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09"/>
        </w:numPr>
      </w:pPr>
      <w:r>
        <w:t xml:space="preserve">wait for the operation to complete</w:t>
      </w:r>
    </w:p>
    <w:p>
      <w:pPr>
        <w:pStyle w:val="Compact"/>
        <w:numPr>
          <w:ilvl w:val="0"/>
          <w:numId w:val="1009"/>
        </w:numPr>
      </w:pPr>
      <w:r>
        <w:t xml:space="preserve">avoid making decisions based on incomplete information</w:t>
      </w:r>
    </w:p>
    <w:p>
      <w:r>
        <w:pict>
          <v:rect style="width:0;height:1.5pt" o:hralign="center" o:hrstd="t" o:hr="t"/>
        </w:pict>
      </w:r>
    </w:p>
    <w:bookmarkEnd w:id="22"/>
    <w:bookmarkStart w:id="23" w:name="ready"/>
    <w:p>
      <w:pPr>
        <w:pStyle w:val="Heading1"/>
      </w:pPr>
      <w:r>
        <w:t xml:space="preserve">Ready</w:t>
      </w:r>
    </w:p>
    <w:p>
      <w:pPr>
        <w:pStyle w:val="FirstParagraph"/>
      </w:pPr>
      <w:r>
        <w:t xml:space="preserve">The data is available according to the current application and provider state.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10"/>
        </w:numPr>
      </w:pPr>
      <w:r>
        <w:t xml:space="preserve">continue normal workflow</w:t>
      </w:r>
    </w:p>
    <w:p>
      <w:pPr>
        <w:pStyle w:val="Compact"/>
        <w:numPr>
          <w:ilvl w:val="0"/>
          <w:numId w:val="1010"/>
        </w:numPr>
      </w:pPr>
      <w:r>
        <w:t xml:space="preserve">still verify timestamps and source where relevant</w:t>
      </w:r>
    </w:p>
    <w:p>
      <w:r>
        <w:pict>
          <v:rect style="width:0;height:1.5pt" o:hralign="center" o:hrstd="t" o:hr="t"/>
        </w:pict>
      </w:r>
    </w:p>
    <w:bookmarkEnd w:id="23"/>
    <w:bookmarkStart w:id="24" w:name="stale"/>
    <w:p>
      <w:pPr>
        <w:pStyle w:val="Heading1"/>
      </w:pPr>
      <w:r>
        <w:t xml:space="preserve">Stale</w:t>
      </w:r>
    </w:p>
    <w:p>
      <w:pPr>
        <w:pStyle w:val="FirstParagraph"/>
      </w:pPr>
      <w:r>
        <w:t xml:space="preserve">The displayed value is no longer considered current.</w:t>
      </w:r>
    </w:p>
    <w:p>
      <w:pPr>
        <w:pStyle w:val="BodyText"/>
      </w:pPr>
      <w:r>
        <w:t xml:space="preserve">The application may show the last available value with a stale indicator.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11"/>
        </w:numPr>
      </w:pPr>
      <w:r>
        <w:t xml:space="preserve">verify whether the value is still useful</w:t>
      </w:r>
    </w:p>
    <w:p>
      <w:pPr>
        <w:pStyle w:val="Compact"/>
        <w:numPr>
          <w:ilvl w:val="0"/>
          <w:numId w:val="1011"/>
        </w:numPr>
      </w:pPr>
      <w:r>
        <w:t xml:space="preserve">refresh or wait for updated data</w:t>
      </w:r>
    </w:p>
    <w:p>
      <w:pPr>
        <w:pStyle w:val="Compact"/>
        <w:numPr>
          <w:ilvl w:val="0"/>
          <w:numId w:val="1011"/>
        </w:numPr>
      </w:pPr>
      <w:r>
        <w:t xml:space="preserve">avoid treating stale data as current</w:t>
      </w:r>
    </w:p>
    <w:p>
      <w:r>
        <w:pict>
          <v:rect style="width:0;height:1.5pt" o:hralign="center" o:hrstd="t" o:hr="t"/>
        </w:pict>
      </w:r>
    </w:p>
    <w:bookmarkEnd w:id="24"/>
    <w:bookmarkStart w:id="25" w:name="unavailable"/>
    <w:p>
      <w:pPr>
        <w:pStyle w:val="Heading1"/>
      </w:pPr>
      <w:r>
        <w:t xml:space="preserve">Unavailable</w:t>
      </w:r>
    </w:p>
    <w:p>
      <w:pPr>
        <w:pStyle w:val="FirstParagraph"/>
      </w:pPr>
      <w:r>
        <w:t xml:space="preserve">The value is not currently available.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N/A</w:t>
      </w:r>
      <w:r>
        <w:br/>
      </w:r>
      <w:r>
        <w:rPr>
          <w:rStyle w:val="VerbatimChar"/>
        </w:rPr>
        <w:t xml:space="preserve">No data</w:t>
      </w:r>
    </w:p>
    <w:p>
      <w:pPr>
        <w:pStyle w:val="FirstParagraph"/>
      </w:pPr>
      <w:r>
        <w:t xml:space="preserve">Unavailable is not the same as zero.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12"/>
        </w:numPr>
      </w:pPr>
      <w:r>
        <w:t xml:space="preserve">do not treat unavailable financial values as zero</w:t>
      </w:r>
    </w:p>
    <w:p>
      <w:pPr>
        <w:pStyle w:val="Compact"/>
        <w:numPr>
          <w:ilvl w:val="0"/>
          <w:numId w:val="1012"/>
        </w:numPr>
      </w:pPr>
      <w:r>
        <w:t xml:space="preserve">review source state</w:t>
      </w:r>
    </w:p>
    <w:p>
      <w:pPr>
        <w:pStyle w:val="Compact"/>
        <w:numPr>
          <w:ilvl w:val="0"/>
          <w:numId w:val="1012"/>
        </w:numPr>
      </w:pPr>
      <w:r>
        <w:t xml:space="preserve">continue only when the missing value is not required for the decision</w:t>
      </w:r>
    </w:p>
    <w:p>
      <w:r>
        <w:pict>
          <v:rect style="width:0;height:1.5pt" o:hralign="center" o:hrstd="t" o:hr="t"/>
        </w:pict>
      </w:r>
    </w:p>
    <w:bookmarkEnd w:id="25"/>
    <w:bookmarkStart w:id="26" w:name="disconnected"/>
    <w:p>
      <w:pPr>
        <w:pStyle w:val="Heading1"/>
      </w:pPr>
      <w:r>
        <w:t xml:space="preserve">Disconnected</w:t>
      </w:r>
    </w:p>
    <w:p>
      <w:pPr>
        <w:pStyle w:val="FirstParagraph"/>
      </w:pPr>
      <w:r>
        <w:t xml:space="preserve">A required external connection is unavailable.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broker disconnected</w:t>
      </w:r>
    </w:p>
    <w:p>
      <w:pPr>
        <w:pStyle w:val="Compact"/>
        <w:numPr>
          <w:ilvl w:val="0"/>
          <w:numId w:val="1013"/>
        </w:numPr>
      </w:pPr>
      <w:r>
        <w:t xml:space="preserve">market data disconnected</w:t>
      </w:r>
    </w:p>
    <w:p>
      <w:pPr>
        <w:pStyle w:val="Compact"/>
        <w:numPr>
          <w:ilvl w:val="0"/>
          <w:numId w:val="1013"/>
        </w:numPr>
      </w:pPr>
      <w:r>
        <w:t xml:space="preserve">external service unavailable</w:t>
      </w:r>
    </w:p>
    <w:p>
      <w:pPr>
        <w:pStyle w:val="FirstParagraph"/>
      </w:pPr>
      <w:r>
        <w:t xml:space="preserve">Action:</w:t>
      </w:r>
    </w:p>
    <w:p>
      <w:pPr>
        <w:pStyle w:val="Compact"/>
        <w:numPr>
          <w:ilvl w:val="0"/>
          <w:numId w:val="1014"/>
        </w:numPr>
      </w:pPr>
      <w:r>
        <w:t xml:space="preserve">review affected capability</w:t>
      </w:r>
    </w:p>
    <w:p>
      <w:pPr>
        <w:pStyle w:val="Compact"/>
        <w:numPr>
          <w:ilvl w:val="0"/>
          <w:numId w:val="1014"/>
        </w:numPr>
      </w:pPr>
      <w:r>
        <w:t xml:space="preserve">avoid broker-dependent actions until connection state is understood</w:t>
      </w:r>
    </w:p>
    <w:p>
      <w:pPr>
        <w:pStyle w:val="Compact"/>
        <w:numPr>
          <w:ilvl w:val="0"/>
          <w:numId w:val="1014"/>
        </w:numPr>
      </w:pPr>
      <w:r>
        <w:t xml:space="preserve">verify whether displayed data is stale or unavailable</w:t>
      </w:r>
    </w:p>
    <w:p>
      <w:r>
        <w:pict>
          <v:rect style="width:0;height:1.5pt" o:hralign="center" o:hrstd="t" o:hr="t"/>
        </w:pict>
      </w:r>
    </w:p>
    <w:bookmarkEnd w:id="26"/>
    <w:bookmarkStart w:id="27" w:name="error"/>
    <w:p>
      <w:pPr>
        <w:pStyle w:val="Heading1"/>
      </w:pPr>
      <w:r>
        <w:t xml:space="preserve">Error</w:t>
      </w:r>
    </w:p>
    <w:p>
      <w:pPr>
        <w:pStyle w:val="FirstParagraph"/>
      </w:pPr>
      <w:r>
        <w:t xml:space="preserve">The application or widget encountered a failure.</w:t>
      </w:r>
    </w:p>
    <w:p>
      <w:pPr>
        <w:pStyle w:val="BodyText"/>
      </w:pPr>
      <w:r>
        <w:t xml:space="preserve">Action:</w:t>
      </w:r>
    </w:p>
    <w:p>
      <w:pPr>
        <w:pStyle w:val="Compact"/>
        <w:numPr>
          <w:ilvl w:val="0"/>
          <w:numId w:val="1015"/>
        </w:numPr>
      </w:pPr>
      <w:r>
        <w:t xml:space="preserve">read the user-facing message</w:t>
      </w:r>
    </w:p>
    <w:p>
      <w:pPr>
        <w:pStyle w:val="Compact"/>
        <w:numPr>
          <w:ilvl w:val="0"/>
          <w:numId w:val="1015"/>
        </w:numPr>
      </w:pPr>
      <w:r>
        <w:t xml:space="preserve">identify whether user action is required</w:t>
      </w:r>
    </w:p>
    <w:p>
      <w:pPr>
        <w:pStyle w:val="Compact"/>
        <w:numPr>
          <w:ilvl w:val="0"/>
          <w:numId w:val="1015"/>
        </w:numPr>
      </w:pPr>
      <w:r>
        <w:t xml:space="preserve">review logs or support information where needed</w:t>
      </w:r>
    </w:p>
    <w:p>
      <w:pPr>
        <w:pStyle w:val="Compact"/>
        <w:numPr>
          <w:ilvl w:val="0"/>
          <w:numId w:val="1015"/>
        </w:numPr>
      </w:pPr>
      <w:r>
        <w:t xml:space="preserve">avoid repeating trading-critical actions until the state is understood</w:t>
      </w:r>
    </w:p>
    <w:p>
      <w:r>
        <w:pict>
          <v:rect style="width:0;height:1.5pt" o:hralign="center" o:hrstd="t" o:hr="t"/>
        </w:pict>
      </w:r>
    </w:p>
    <w:bookmarkEnd w:id="27"/>
    <w:bookmarkStart w:id="28" w:name="watchlists"/>
    <w:p>
      <w:pPr>
        <w:pStyle w:val="Heading1"/>
      </w:pPr>
      <w:r>
        <w:t xml:space="preserve">Watchlists</w:t>
      </w:r>
    </w:p>
    <w:p>
      <w:pPr>
        <w:pStyle w:val="FirstParagraph"/>
      </w:pPr>
      <w:r>
        <w:t xml:space="preserve">Watchlists help users monitor selected instruments.</w:t>
      </w:r>
    </w:p>
    <w:p>
      <w:pPr>
        <w:pStyle w:val="BodyText"/>
      </w:pPr>
      <w:r>
        <w:t xml:space="preserve">Typical actions:</w:t>
      </w:r>
    </w:p>
    <w:p>
      <w:pPr>
        <w:pStyle w:val="Compact"/>
        <w:numPr>
          <w:ilvl w:val="0"/>
          <w:numId w:val="1016"/>
        </w:numPr>
      </w:pPr>
      <w:r>
        <w:t xml:space="preserve">add instrument</w:t>
      </w:r>
    </w:p>
    <w:p>
      <w:pPr>
        <w:pStyle w:val="Compact"/>
        <w:numPr>
          <w:ilvl w:val="0"/>
          <w:numId w:val="1016"/>
        </w:numPr>
      </w:pPr>
      <w:r>
        <w:t xml:space="preserve">remove instrument</w:t>
      </w:r>
    </w:p>
    <w:p>
      <w:pPr>
        <w:pStyle w:val="Compact"/>
        <w:numPr>
          <w:ilvl w:val="0"/>
          <w:numId w:val="1016"/>
        </w:numPr>
      </w:pPr>
      <w:r>
        <w:t xml:space="preserve">select instrument</w:t>
      </w:r>
    </w:p>
    <w:p>
      <w:pPr>
        <w:pStyle w:val="Compact"/>
        <w:numPr>
          <w:ilvl w:val="0"/>
          <w:numId w:val="1016"/>
        </w:numPr>
      </w:pPr>
      <w:r>
        <w:t xml:space="preserve">sort instruments</w:t>
      </w:r>
    </w:p>
    <w:p>
      <w:pPr>
        <w:pStyle w:val="Compact"/>
        <w:numPr>
          <w:ilvl w:val="0"/>
          <w:numId w:val="1016"/>
        </w:numPr>
      </w:pPr>
      <w:r>
        <w:t xml:space="preserve">filter instruments</w:t>
      </w:r>
    </w:p>
    <w:p>
      <w:pPr>
        <w:pStyle w:val="Compact"/>
        <w:numPr>
          <w:ilvl w:val="0"/>
          <w:numId w:val="1016"/>
        </w:numPr>
      </w:pPr>
      <w:r>
        <w:t xml:space="preserve">open related widgets</w:t>
      </w:r>
    </w:p>
    <w:p>
      <w:pPr>
        <w:pStyle w:val="Compact"/>
        <w:numPr>
          <w:ilvl w:val="0"/>
          <w:numId w:val="1016"/>
        </w:numPr>
      </w:pPr>
      <w:r>
        <w:t xml:space="preserve">publish instrument context</w:t>
      </w:r>
    </w:p>
    <w:p>
      <w:pPr>
        <w:pStyle w:val="FirstParagraph"/>
      </w:pPr>
      <w:r>
        <w:t xml:space="preserve">Before using a watchlist value for a decision, verify:</w:t>
      </w:r>
    </w:p>
    <w:p>
      <w:pPr>
        <w:pStyle w:val="Compact"/>
        <w:numPr>
          <w:ilvl w:val="0"/>
          <w:numId w:val="1017"/>
        </w:numPr>
      </w:pPr>
      <w:r>
        <w:t xml:space="preserve">quote state</w:t>
      </w:r>
    </w:p>
    <w:p>
      <w:pPr>
        <w:pStyle w:val="Compact"/>
        <w:numPr>
          <w:ilvl w:val="0"/>
          <w:numId w:val="1017"/>
        </w:numPr>
      </w:pPr>
      <w:r>
        <w:t xml:space="preserve">timestamp</w:t>
      </w:r>
    </w:p>
    <w:p>
      <w:pPr>
        <w:pStyle w:val="Compact"/>
        <w:numPr>
          <w:ilvl w:val="0"/>
          <w:numId w:val="1017"/>
        </w:numPr>
      </w:pPr>
      <w:r>
        <w:t xml:space="preserve">source</w:t>
      </w:r>
    </w:p>
    <w:p>
      <w:pPr>
        <w:pStyle w:val="Compact"/>
        <w:numPr>
          <w:ilvl w:val="0"/>
          <w:numId w:val="1017"/>
        </w:numPr>
      </w:pPr>
      <w:r>
        <w:t xml:space="preserve">stale or unavailable indicators</w:t>
      </w:r>
    </w:p>
    <w:p>
      <w:r>
        <w:pict>
          <v:rect style="width:0;height:1.5pt" o:hralign="center" o:hrstd="t" o:hr="t"/>
        </w:pict>
      </w:r>
    </w:p>
    <w:bookmarkEnd w:id="28"/>
    <w:bookmarkStart w:id="29" w:name="market-monitoring"/>
    <w:p>
      <w:pPr>
        <w:pStyle w:val="Heading1"/>
      </w:pPr>
      <w:r>
        <w:t xml:space="preserve">Market Monitoring</w:t>
      </w:r>
    </w:p>
    <w:p>
      <w:pPr>
        <w:pStyle w:val="FirstParagraph"/>
      </w:pPr>
      <w:r>
        <w:t xml:space="preserve">Market monitoring widgets help users observe current market conditions.</w:t>
      </w:r>
    </w:p>
    <w:p>
      <w:pPr>
        <w:pStyle w:val="BodyText"/>
      </w:pPr>
      <w:r>
        <w:t xml:space="preserve">Possible information includes:</w:t>
      </w:r>
    </w:p>
    <w:p>
      <w:pPr>
        <w:pStyle w:val="Compact"/>
        <w:numPr>
          <w:ilvl w:val="0"/>
          <w:numId w:val="1018"/>
        </w:numPr>
      </w:pPr>
      <w:r>
        <w:t xml:space="preserve">instrument prices</w:t>
      </w:r>
    </w:p>
    <w:p>
      <w:pPr>
        <w:pStyle w:val="Compact"/>
        <w:numPr>
          <w:ilvl w:val="0"/>
          <w:numId w:val="1018"/>
        </w:numPr>
      </w:pPr>
      <w:r>
        <w:t xml:space="preserve">price changes</w:t>
      </w:r>
    </w:p>
    <w:p>
      <w:pPr>
        <w:pStyle w:val="Compact"/>
        <w:numPr>
          <w:ilvl w:val="0"/>
          <w:numId w:val="1018"/>
        </w:numPr>
      </w:pPr>
      <w:r>
        <w:t xml:space="preserve">market state</w:t>
      </w:r>
    </w:p>
    <w:p>
      <w:pPr>
        <w:pStyle w:val="Compact"/>
        <w:numPr>
          <w:ilvl w:val="0"/>
          <w:numId w:val="1018"/>
        </w:numPr>
      </w:pPr>
      <w:r>
        <w:t xml:space="preserve">timestamps</w:t>
      </w:r>
    </w:p>
    <w:p>
      <w:pPr>
        <w:pStyle w:val="Compact"/>
        <w:numPr>
          <w:ilvl w:val="0"/>
          <w:numId w:val="1018"/>
        </w:numPr>
      </w:pPr>
      <w:r>
        <w:t xml:space="preserve">quote source</w:t>
      </w:r>
    </w:p>
    <w:p>
      <w:pPr>
        <w:pStyle w:val="Compact"/>
        <w:numPr>
          <w:ilvl w:val="0"/>
          <w:numId w:val="1018"/>
        </w:numPr>
      </w:pPr>
      <w:r>
        <w:t xml:space="preserve">stale indicators</w:t>
      </w:r>
    </w:p>
    <w:p>
      <w:pPr>
        <w:pStyle w:val="Compact"/>
        <w:numPr>
          <w:ilvl w:val="0"/>
          <w:numId w:val="1018"/>
        </w:numPr>
      </w:pPr>
      <w:r>
        <w:t xml:space="preserve">unavailable values</w:t>
      </w:r>
    </w:p>
    <w:p>
      <w:pPr>
        <w:pStyle w:val="FirstParagraph"/>
      </w:pPr>
      <w:r>
        <w:t xml:space="preserve">Market monitoring is informational.</w:t>
      </w:r>
    </w:p>
    <w:p>
      <w:pPr>
        <w:pStyle w:val="BodyText"/>
      </w:pPr>
      <w:r>
        <w:t xml:space="preserve">It does not automatically create trading decisions or orders.</w:t>
      </w:r>
    </w:p>
    <w:p>
      <w:r>
        <w:pict>
          <v:rect style="width:0;height:1.5pt" o:hralign="center" o:hrstd="t" o:hr="t"/>
        </w:pict>
      </w:r>
    </w:p>
    <w:bookmarkEnd w:id="29"/>
    <w:bookmarkStart w:id="30" w:name="trading-candidates"/>
    <w:p>
      <w:pPr>
        <w:pStyle w:val="Heading1"/>
      </w:pPr>
      <w:r>
        <w:t xml:space="preserve">Trading Candidates</w:t>
      </w:r>
    </w:p>
    <w:p>
      <w:pPr>
        <w:pStyle w:val="FirstParagraph"/>
      </w:pPr>
      <w:r>
        <w:t xml:space="preserve">Trading Candidates represent possible opportunities under review.</w:t>
      </w:r>
    </w:p>
    <w:p>
      <w:pPr>
        <w:pStyle w:val="BodyText"/>
      </w:pPr>
      <w:r>
        <w:t xml:space="preserve">A candidate is not the same as a trading decision.</w:t>
      </w:r>
    </w:p>
    <w:p>
      <w:pPr>
        <w:pStyle w:val="BodyText"/>
      </w:pPr>
      <w:r>
        <w:t xml:space="preserve">Users may review:</w:t>
      </w:r>
    </w:p>
    <w:p>
      <w:pPr>
        <w:pStyle w:val="Compact"/>
        <w:numPr>
          <w:ilvl w:val="0"/>
          <w:numId w:val="1019"/>
        </w:numPr>
      </w:pPr>
      <w:r>
        <w:t xml:space="preserve">selected instrument</w:t>
      </w:r>
    </w:p>
    <w:p>
      <w:pPr>
        <w:pStyle w:val="Compact"/>
        <w:numPr>
          <w:ilvl w:val="0"/>
          <w:numId w:val="1019"/>
        </w:numPr>
      </w:pPr>
      <w:r>
        <w:t xml:space="preserve">market context</w:t>
      </w:r>
    </w:p>
    <w:p>
      <w:pPr>
        <w:pStyle w:val="Compact"/>
        <w:numPr>
          <w:ilvl w:val="0"/>
          <w:numId w:val="1019"/>
        </w:numPr>
      </w:pPr>
      <w:r>
        <w:t xml:space="preserve">candidate rationale</w:t>
      </w:r>
    </w:p>
    <w:p>
      <w:pPr>
        <w:pStyle w:val="Compact"/>
        <w:numPr>
          <w:ilvl w:val="0"/>
          <w:numId w:val="1019"/>
        </w:numPr>
      </w:pPr>
      <w:r>
        <w:t xml:space="preserve">relevant indicators</w:t>
      </w:r>
    </w:p>
    <w:p>
      <w:pPr>
        <w:pStyle w:val="Compact"/>
        <w:numPr>
          <w:ilvl w:val="0"/>
          <w:numId w:val="1019"/>
        </w:numPr>
      </w:pPr>
      <w:r>
        <w:t xml:space="preserve">portfolio context</w:t>
      </w:r>
    </w:p>
    <w:p>
      <w:pPr>
        <w:pStyle w:val="Compact"/>
        <w:numPr>
          <w:ilvl w:val="0"/>
          <w:numId w:val="1019"/>
        </w:numPr>
      </w:pPr>
      <w:r>
        <w:t xml:space="preserve">risk context</w:t>
      </w:r>
    </w:p>
    <w:p>
      <w:pPr>
        <w:pStyle w:val="Compact"/>
        <w:numPr>
          <w:ilvl w:val="0"/>
          <w:numId w:val="1019"/>
        </w:numPr>
      </w:pPr>
      <w:r>
        <w:t xml:space="preserve">current data state</w:t>
      </w:r>
    </w:p>
    <w:p>
      <w:pPr>
        <w:pStyle w:val="FirstParagraph"/>
      </w:pPr>
      <w:r>
        <w:t xml:space="preserve">A candidate should not result in order submission unless the user or an explicit application workflow creates a Trading Decision and proceeds to order preparation.</w:t>
      </w:r>
    </w:p>
    <w:p>
      <w:r>
        <w:pict>
          <v:rect style="width:0;height:1.5pt" o:hralign="center" o:hrstd="t" o:hr="t"/>
        </w:pict>
      </w:r>
    </w:p>
    <w:bookmarkEnd w:id="30"/>
    <w:bookmarkStart w:id="31" w:name="decision-center"/>
    <w:p>
      <w:pPr>
        <w:pStyle w:val="Heading1"/>
      </w:pPr>
      <w:r>
        <w:t xml:space="preserve">Decision Center</w:t>
      </w:r>
    </w:p>
    <w:p>
      <w:pPr>
        <w:pStyle w:val="FirstParagraph"/>
      </w:pPr>
      <w:r>
        <w:t xml:space="preserve">The Decision Center supports structured review before trading action.</w:t>
      </w:r>
    </w:p>
    <w:p>
      <w:pPr>
        <w:pStyle w:val="BodyText"/>
      </w:pPr>
      <w:r>
        <w:t xml:space="preserve">Users may review:</w:t>
      </w:r>
    </w:p>
    <w:p>
      <w:pPr>
        <w:pStyle w:val="Compact"/>
        <w:numPr>
          <w:ilvl w:val="0"/>
          <w:numId w:val="1020"/>
        </w:numPr>
      </w:pPr>
      <w:r>
        <w:t xml:space="preserve">selected instrument</w:t>
      </w:r>
    </w:p>
    <w:p>
      <w:pPr>
        <w:pStyle w:val="Compact"/>
        <w:numPr>
          <w:ilvl w:val="0"/>
          <w:numId w:val="1020"/>
        </w:numPr>
      </w:pPr>
      <w:r>
        <w:t xml:space="preserve">candidate information</w:t>
      </w:r>
    </w:p>
    <w:p>
      <w:pPr>
        <w:pStyle w:val="Compact"/>
        <w:numPr>
          <w:ilvl w:val="0"/>
          <w:numId w:val="1020"/>
        </w:numPr>
      </w:pPr>
      <w:r>
        <w:t xml:space="preserve">market context</w:t>
      </w:r>
    </w:p>
    <w:p>
      <w:pPr>
        <w:pStyle w:val="Compact"/>
        <w:numPr>
          <w:ilvl w:val="0"/>
          <w:numId w:val="1020"/>
        </w:numPr>
      </w:pPr>
      <w:r>
        <w:t xml:space="preserve">portfolio context</w:t>
      </w:r>
    </w:p>
    <w:p>
      <w:pPr>
        <w:pStyle w:val="Compact"/>
        <w:numPr>
          <w:ilvl w:val="0"/>
          <w:numId w:val="1020"/>
        </w:numPr>
      </w:pPr>
      <w:r>
        <w:t xml:space="preserve">risk context</w:t>
      </w:r>
    </w:p>
    <w:p>
      <w:pPr>
        <w:pStyle w:val="Compact"/>
        <w:numPr>
          <w:ilvl w:val="0"/>
          <w:numId w:val="1020"/>
        </w:numPr>
      </w:pPr>
      <w:r>
        <w:t xml:space="preserve">decision rationale</w:t>
      </w:r>
    </w:p>
    <w:p>
      <w:pPr>
        <w:pStyle w:val="Compact"/>
        <w:numPr>
          <w:ilvl w:val="0"/>
          <w:numId w:val="1020"/>
        </w:numPr>
      </w:pPr>
      <w:r>
        <w:t xml:space="preserve">decision state</w:t>
      </w:r>
    </w:p>
    <w:p>
      <w:pPr>
        <w:pStyle w:val="FirstParagraph"/>
      </w:pPr>
      <w:r>
        <w:t xml:space="preserve">A Trading Decision should be traceable.</w:t>
      </w:r>
    </w:p>
    <w:p>
      <w:pPr>
        <w:pStyle w:val="BodyText"/>
      </w:pPr>
      <w:r>
        <w:t xml:space="preserve">Before moving from decision to order preparation, verify that required information is current and complete.</w:t>
      </w:r>
    </w:p>
    <w:p>
      <w:r>
        <w:pict>
          <v:rect style="width:0;height:1.5pt" o:hralign="center" o:hrstd="t" o:hr="t"/>
        </w:pict>
      </w:r>
    </w:p>
    <w:bookmarkEnd w:id="31"/>
    <w:bookmarkStart w:id="32" w:name="order-entry"/>
    <w:p>
      <w:pPr>
        <w:pStyle w:val="Heading1"/>
      </w:pPr>
      <w:r>
        <w:t xml:space="preserve">Order Entry</w:t>
      </w:r>
    </w:p>
    <w:p>
      <w:pPr>
        <w:pStyle w:val="FirstParagraph"/>
      </w:pPr>
      <w:r>
        <w:t xml:space="preserve">Order Entry is a trading-critical area.</w:t>
      </w:r>
    </w:p>
    <w:p>
      <w:pPr>
        <w:pStyle w:val="BodyText"/>
      </w:pPr>
      <w:r>
        <w:t xml:space="preserve">Before submitting an order, review:</w:t>
      </w:r>
    </w:p>
    <w:p>
      <w:pPr>
        <w:pStyle w:val="Compact"/>
        <w:numPr>
          <w:ilvl w:val="0"/>
          <w:numId w:val="1021"/>
        </w:numPr>
      </w:pPr>
      <w:r>
        <w:t xml:space="preserve">environment</w:t>
      </w:r>
    </w:p>
    <w:p>
      <w:pPr>
        <w:pStyle w:val="Compact"/>
        <w:numPr>
          <w:ilvl w:val="0"/>
          <w:numId w:val="1021"/>
        </w:numPr>
      </w:pPr>
      <w:r>
        <w:t xml:space="preserve">account</w:t>
      </w:r>
    </w:p>
    <w:p>
      <w:pPr>
        <w:pStyle w:val="Compact"/>
        <w:numPr>
          <w:ilvl w:val="0"/>
          <w:numId w:val="1021"/>
        </w:numPr>
      </w:pPr>
      <w:r>
        <w:t xml:space="preserve">instrument</w:t>
      </w:r>
    </w:p>
    <w:p>
      <w:pPr>
        <w:pStyle w:val="Compact"/>
        <w:numPr>
          <w:ilvl w:val="0"/>
          <w:numId w:val="1021"/>
        </w:numPr>
      </w:pPr>
      <w:r>
        <w:t xml:space="preserve">action</w:t>
      </w:r>
    </w:p>
    <w:p>
      <w:pPr>
        <w:pStyle w:val="Compact"/>
        <w:numPr>
          <w:ilvl w:val="0"/>
          <w:numId w:val="1021"/>
        </w:numPr>
      </w:pPr>
      <w:r>
        <w:t xml:space="preserve">quantity</w:t>
      </w:r>
    </w:p>
    <w:p>
      <w:pPr>
        <w:pStyle w:val="Compact"/>
        <w:numPr>
          <w:ilvl w:val="0"/>
          <w:numId w:val="1021"/>
        </w:numPr>
      </w:pPr>
      <w:r>
        <w:t xml:space="preserve">order type</w:t>
      </w:r>
    </w:p>
    <w:p>
      <w:pPr>
        <w:pStyle w:val="Compact"/>
        <w:numPr>
          <w:ilvl w:val="0"/>
          <w:numId w:val="1021"/>
        </w:numPr>
      </w:pPr>
      <w:r>
        <w:t xml:space="preserve">price parameters</w:t>
      </w:r>
    </w:p>
    <w:p>
      <w:pPr>
        <w:pStyle w:val="Compact"/>
        <w:numPr>
          <w:ilvl w:val="0"/>
          <w:numId w:val="1021"/>
        </w:numPr>
      </w:pPr>
      <w:r>
        <w:t xml:space="preserve">time-in-force</w:t>
      </w:r>
    </w:p>
    <w:p>
      <w:pPr>
        <w:pStyle w:val="Compact"/>
        <w:numPr>
          <w:ilvl w:val="0"/>
          <w:numId w:val="1021"/>
        </w:numPr>
      </w:pPr>
      <w:r>
        <w:t xml:space="preserve">validation messages</w:t>
      </w:r>
    </w:p>
    <w:p>
      <w:pPr>
        <w:pStyle w:val="Compact"/>
        <w:numPr>
          <w:ilvl w:val="0"/>
          <w:numId w:val="1021"/>
        </w:numPr>
      </w:pPr>
      <w:r>
        <w:t xml:space="preserve">market data state</w:t>
      </w:r>
    </w:p>
    <w:p>
      <w:pPr>
        <w:pStyle w:val="Compact"/>
        <w:numPr>
          <w:ilvl w:val="0"/>
          <w:numId w:val="1021"/>
        </w:numPr>
      </w:pPr>
      <w:r>
        <w:t xml:space="preserve">broker connection state</w:t>
      </w:r>
    </w:p>
    <w:p>
      <w:pPr>
        <w:pStyle w:val="Compact"/>
        <w:numPr>
          <w:ilvl w:val="0"/>
          <w:numId w:val="1021"/>
        </w:numPr>
      </w:pPr>
      <w:r>
        <w:t xml:space="preserve">portfolio context</w:t>
      </w:r>
    </w:p>
    <w:p>
      <w:pPr>
        <w:pStyle w:val="Compact"/>
        <w:numPr>
          <w:ilvl w:val="0"/>
          <w:numId w:val="1021"/>
        </w:numPr>
      </w:pPr>
      <w:r>
        <w:t xml:space="preserve">risk context</w:t>
      </w:r>
    </w:p>
    <w:p>
      <w:pPr>
        <w:pStyle w:val="FirstParagraph"/>
      </w:pPr>
      <w:r>
        <w:t xml:space="preserve">Invalid orders shall not be submitted.</w:t>
      </w:r>
    </w:p>
    <w:p>
      <w:pPr>
        <w:pStyle w:val="BodyText"/>
      </w:pPr>
      <w:r>
        <w:t xml:space="preserve">The user should not rely on visual assumptions.</w:t>
      </w:r>
    </w:p>
    <w:p>
      <w:pPr>
        <w:pStyle w:val="BodyText"/>
      </w:pPr>
      <w:r>
        <w:t xml:space="preserve">Always review the explicit order parameters.</w:t>
      </w:r>
    </w:p>
    <w:p>
      <w:r>
        <w:pict>
          <v:rect style="width:0;height:1.5pt" o:hralign="center" o:hrstd="t" o:hr="t"/>
        </w:pict>
      </w:r>
    </w:p>
    <w:bookmarkEnd w:id="32"/>
    <w:bookmarkStart w:id="33" w:name="order-submission"/>
    <w:p>
      <w:pPr>
        <w:pStyle w:val="Heading1"/>
      </w:pPr>
      <w:r>
        <w:t xml:space="preserve">Order Submission</w:t>
      </w:r>
    </w:p>
    <w:p>
      <w:pPr>
        <w:pStyle w:val="FirstParagraph"/>
      </w:pPr>
      <w:r>
        <w:t xml:space="preserve">Submitting an order may create an external broker side effect.</w:t>
      </w:r>
    </w:p>
    <w:p>
      <w:pPr>
        <w:pStyle w:val="BodyText"/>
      </w:pPr>
      <w:r>
        <w:t xml:space="preserve">After submission, the application should distinguish between:</w:t>
      </w:r>
    </w:p>
    <w:p>
      <w:pPr>
        <w:pStyle w:val="SourceCode"/>
      </w:pPr>
      <w:r>
        <w:rPr>
          <w:rStyle w:val="VerbatimChar"/>
        </w:rPr>
        <w:t xml:space="preserve">Submission Requested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Transmitted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Broker Acknowledged or Rejected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Partially Filled or Filled</w:t>
      </w:r>
    </w:p>
    <w:p>
      <w:pPr>
        <w:pStyle w:val="FirstParagraph"/>
      </w:pPr>
      <w:r>
        <w:t xml:space="preserve">A local submission action is not the same as broker acknowledgement.</w:t>
      </w:r>
    </w:p>
    <w:p>
      <w:pPr>
        <w:pStyle w:val="BodyText"/>
      </w:pPr>
      <w:r>
        <w:t xml:space="preserve">Do not assume an order is accepted until broker acknowledgement is visible.</w:t>
      </w:r>
    </w:p>
    <w:p>
      <w:r>
        <w:pict>
          <v:rect style="width:0;height:1.5pt" o:hralign="center" o:hrstd="t" o:hr="t"/>
        </w:pict>
      </w:r>
    </w:p>
    <w:bookmarkEnd w:id="33"/>
    <w:bookmarkStart w:id="34" w:name="order-cancellation"/>
    <w:p>
      <w:pPr>
        <w:pStyle w:val="Heading1"/>
      </w:pPr>
      <w:r>
        <w:t xml:space="preserve">Order Cancellation</w:t>
      </w:r>
    </w:p>
    <w:p>
      <w:pPr>
        <w:pStyle w:val="FirstParagraph"/>
      </w:pPr>
      <w:r>
        <w:t xml:space="preserve">Order cancellation is also trading-critical.</w:t>
      </w:r>
    </w:p>
    <w:p>
      <w:pPr>
        <w:pStyle w:val="BodyText"/>
      </w:pPr>
      <w:r>
        <w:t xml:space="preserve">A cancellation request is not the same as broker-confirmed cancellation.</w:t>
      </w:r>
    </w:p>
    <w:p>
      <w:pPr>
        <w:pStyle w:val="BodyText"/>
      </w:pPr>
      <w:r>
        <w:t xml:space="preserve">After requesting cancellation, monitor:</w:t>
      </w:r>
    </w:p>
    <w:p>
      <w:pPr>
        <w:pStyle w:val="Compact"/>
        <w:numPr>
          <w:ilvl w:val="0"/>
          <w:numId w:val="1022"/>
        </w:numPr>
      </w:pPr>
      <w:r>
        <w:t xml:space="preserve">cancellation pending state</w:t>
      </w:r>
    </w:p>
    <w:p>
      <w:pPr>
        <w:pStyle w:val="Compact"/>
        <w:numPr>
          <w:ilvl w:val="0"/>
          <w:numId w:val="1022"/>
        </w:numPr>
      </w:pPr>
      <w:r>
        <w:t xml:space="preserve">broker cancellation acknowledgement</w:t>
      </w:r>
    </w:p>
    <w:p>
      <w:pPr>
        <w:pStyle w:val="Compact"/>
        <w:numPr>
          <w:ilvl w:val="0"/>
          <w:numId w:val="1022"/>
        </w:numPr>
      </w:pPr>
      <w:r>
        <w:t xml:space="preserve">rejection</w:t>
      </w:r>
    </w:p>
    <w:p>
      <w:pPr>
        <w:pStyle w:val="Compact"/>
        <w:numPr>
          <w:ilvl w:val="0"/>
          <w:numId w:val="1022"/>
        </w:numPr>
      </w:pPr>
      <w:r>
        <w:t xml:space="preserve">possible execution during cancellation</w:t>
      </w:r>
    </w:p>
    <w:p>
      <w:pPr>
        <w:pStyle w:val="FirstParagraph"/>
      </w:pPr>
      <w:r>
        <w:t xml:space="preserve">Do not assume that an order is cancelled until the broker-derived state confirms it.</w:t>
      </w:r>
    </w:p>
    <w:p>
      <w:r>
        <w:pict>
          <v:rect style="width:0;height:1.5pt" o:hralign="center" o:hrstd="t" o:hr="t"/>
        </w:pict>
      </w:r>
    </w:p>
    <w:bookmarkEnd w:id="34"/>
    <w:bookmarkStart w:id="35" w:name="orders-view"/>
    <w:p>
      <w:pPr>
        <w:pStyle w:val="Heading1"/>
      </w:pPr>
      <w:r>
        <w:t xml:space="preserve">Orders View</w:t>
      </w:r>
    </w:p>
    <w:p>
      <w:pPr>
        <w:pStyle w:val="FirstParagraph"/>
      </w:pPr>
      <w:r>
        <w:t xml:space="preserve">The Orders view may show:</w:t>
      </w:r>
    </w:p>
    <w:p>
      <w:pPr>
        <w:pStyle w:val="Compact"/>
        <w:numPr>
          <w:ilvl w:val="0"/>
          <w:numId w:val="1023"/>
        </w:numPr>
      </w:pPr>
      <w:r>
        <w:t xml:space="preserve">submitted orders</w:t>
      </w:r>
    </w:p>
    <w:p>
      <w:pPr>
        <w:pStyle w:val="Compact"/>
        <w:numPr>
          <w:ilvl w:val="0"/>
          <w:numId w:val="1023"/>
        </w:numPr>
      </w:pPr>
      <w:r>
        <w:t xml:space="preserve">working orders</w:t>
      </w:r>
    </w:p>
    <w:p>
      <w:pPr>
        <w:pStyle w:val="Compact"/>
        <w:numPr>
          <w:ilvl w:val="0"/>
          <w:numId w:val="1023"/>
        </w:numPr>
      </w:pPr>
      <w:r>
        <w:t xml:space="preserve">rejected orders</w:t>
      </w:r>
    </w:p>
    <w:p>
      <w:pPr>
        <w:pStyle w:val="Compact"/>
        <w:numPr>
          <w:ilvl w:val="0"/>
          <w:numId w:val="1023"/>
        </w:numPr>
      </w:pPr>
      <w:r>
        <w:t xml:space="preserve">cancelled orders</w:t>
      </w:r>
    </w:p>
    <w:p>
      <w:pPr>
        <w:pStyle w:val="Compact"/>
        <w:numPr>
          <w:ilvl w:val="0"/>
          <w:numId w:val="1023"/>
        </w:numPr>
      </w:pPr>
      <w:r>
        <w:t xml:space="preserve">partially filled orders</w:t>
      </w:r>
    </w:p>
    <w:p>
      <w:pPr>
        <w:pStyle w:val="Compact"/>
        <w:numPr>
          <w:ilvl w:val="0"/>
          <w:numId w:val="1023"/>
        </w:numPr>
      </w:pPr>
      <w:r>
        <w:t xml:space="preserve">filled orders</w:t>
      </w:r>
    </w:p>
    <w:p>
      <w:pPr>
        <w:pStyle w:val="FirstParagraph"/>
      </w:pPr>
      <w:r>
        <w:t xml:space="preserve">Review order state carefully.</w:t>
      </w:r>
    </w:p>
    <w:p>
      <w:pPr>
        <w:pStyle w:val="BodyText"/>
      </w:pPr>
      <w:r>
        <w:t xml:space="preserve">Repeated broker messages, reconnects or refreshes should not be interpreted manually as separate intentional orders unless the application state confirms it.</w:t>
      </w:r>
    </w:p>
    <w:p>
      <w:r>
        <w:pict>
          <v:rect style="width:0;height:1.5pt" o:hralign="center" o:hrstd="t" o:hr="t"/>
        </w:pict>
      </w:r>
    </w:p>
    <w:bookmarkEnd w:id="35"/>
    <w:bookmarkStart w:id="36" w:name="positions-view"/>
    <w:p>
      <w:pPr>
        <w:pStyle w:val="Heading1"/>
      </w:pPr>
      <w:r>
        <w:t xml:space="preserve">Positions View</w:t>
      </w:r>
    </w:p>
    <w:p>
      <w:pPr>
        <w:pStyle w:val="FirstParagraph"/>
      </w:pPr>
      <w:r>
        <w:t xml:space="preserve">The Positions view shows current or historical position state where available.</w:t>
      </w:r>
    </w:p>
    <w:p>
      <w:pPr>
        <w:pStyle w:val="BodyText"/>
      </w:pPr>
      <w:r>
        <w:t xml:space="preserve">Users should verify:</w:t>
      </w:r>
    </w:p>
    <w:p>
      <w:pPr>
        <w:pStyle w:val="Compact"/>
        <w:numPr>
          <w:ilvl w:val="0"/>
          <w:numId w:val="1024"/>
        </w:numPr>
      </w:pPr>
      <w:r>
        <w:t xml:space="preserve">instrument</w:t>
      </w:r>
    </w:p>
    <w:p>
      <w:pPr>
        <w:pStyle w:val="Compact"/>
        <w:numPr>
          <w:ilvl w:val="0"/>
          <w:numId w:val="1024"/>
        </w:numPr>
      </w:pPr>
      <w:r>
        <w:t xml:space="preserve">quantity</w:t>
      </w:r>
    </w:p>
    <w:p>
      <w:pPr>
        <w:pStyle w:val="Compact"/>
        <w:numPr>
          <w:ilvl w:val="0"/>
          <w:numId w:val="1024"/>
        </w:numPr>
      </w:pPr>
      <w:r>
        <w:t xml:space="preserve">side</w:t>
      </w:r>
    </w:p>
    <w:p>
      <w:pPr>
        <w:pStyle w:val="Compact"/>
        <w:numPr>
          <w:ilvl w:val="0"/>
          <w:numId w:val="1024"/>
        </w:numPr>
      </w:pPr>
      <w:r>
        <w:t xml:space="preserve">average price</w:t>
      </w:r>
    </w:p>
    <w:p>
      <w:pPr>
        <w:pStyle w:val="Compact"/>
        <w:numPr>
          <w:ilvl w:val="0"/>
          <w:numId w:val="1024"/>
        </w:numPr>
      </w:pPr>
      <w:r>
        <w:t xml:space="preserve">market value</w:t>
      </w:r>
    </w:p>
    <w:p>
      <w:pPr>
        <w:pStyle w:val="Compact"/>
        <w:numPr>
          <w:ilvl w:val="0"/>
          <w:numId w:val="1024"/>
        </w:numPr>
      </w:pPr>
      <w:r>
        <w:t xml:space="preserve">unrealized profit or loss</w:t>
      </w:r>
    </w:p>
    <w:p>
      <w:pPr>
        <w:pStyle w:val="Compact"/>
        <w:numPr>
          <w:ilvl w:val="0"/>
          <w:numId w:val="1024"/>
        </w:numPr>
      </w:pPr>
      <w:r>
        <w:t xml:space="preserve">realized profit or loss where available</w:t>
      </w:r>
    </w:p>
    <w:p>
      <w:pPr>
        <w:pStyle w:val="Compact"/>
        <w:numPr>
          <w:ilvl w:val="0"/>
          <w:numId w:val="1024"/>
        </w:numPr>
      </w:pPr>
      <w:r>
        <w:t xml:space="preserve">source</w:t>
      </w:r>
    </w:p>
    <w:p>
      <w:pPr>
        <w:pStyle w:val="Compact"/>
        <w:numPr>
          <w:ilvl w:val="0"/>
          <w:numId w:val="1024"/>
        </w:numPr>
      </w:pPr>
      <w:r>
        <w:t xml:space="preserve">timestamp</w:t>
      </w:r>
    </w:p>
    <w:p>
      <w:pPr>
        <w:pStyle w:val="Compact"/>
        <w:numPr>
          <w:ilvl w:val="0"/>
          <w:numId w:val="1024"/>
        </w:numPr>
      </w:pPr>
      <w:r>
        <w:t xml:space="preserve">reconciliation state where relevant</w:t>
      </w:r>
    </w:p>
    <w:p>
      <w:pPr>
        <w:pStyle w:val="FirstParagraph"/>
      </w:pPr>
      <w:r>
        <w:t xml:space="preserve">Position state should not be inferred only from chart or order display.</w:t>
      </w:r>
    </w:p>
    <w:p>
      <w:r>
        <w:pict>
          <v:rect style="width:0;height:1.5pt" o:hralign="center" o:hrstd="t" o:hr="t"/>
        </w:pict>
      </w:r>
    </w:p>
    <w:bookmarkEnd w:id="36"/>
    <w:bookmarkStart w:id="37" w:name="portfolio-view"/>
    <w:p>
      <w:pPr>
        <w:pStyle w:val="Heading1"/>
      </w:pPr>
      <w:r>
        <w:t xml:space="preserve">Portfolio View</w:t>
      </w:r>
    </w:p>
    <w:p>
      <w:pPr>
        <w:pStyle w:val="FirstParagraph"/>
      </w:pPr>
      <w:r>
        <w:t xml:space="preserve">The Portfolio view provides account-level or portfolio-level information.</w:t>
      </w:r>
    </w:p>
    <w:p>
      <w:pPr>
        <w:pStyle w:val="BodyText"/>
      </w:pPr>
      <w:r>
        <w:t xml:space="preserve">Possible information includes:</w:t>
      </w:r>
    </w:p>
    <w:p>
      <w:pPr>
        <w:pStyle w:val="Compact"/>
        <w:numPr>
          <w:ilvl w:val="0"/>
          <w:numId w:val="1025"/>
        </w:numPr>
      </w:pPr>
      <w:r>
        <w:t xml:space="preserve">cash</w:t>
      </w:r>
    </w:p>
    <w:p>
      <w:pPr>
        <w:pStyle w:val="Compact"/>
        <w:numPr>
          <w:ilvl w:val="0"/>
          <w:numId w:val="1025"/>
        </w:numPr>
      </w:pPr>
      <w:r>
        <w:t xml:space="preserve">net liquidation value</w:t>
      </w:r>
    </w:p>
    <w:p>
      <w:pPr>
        <w:pStyle w:val="Compact"/>
        <w:numPr>
          <w:ilvl w:val="0"/>
          <w:numId w:val="1025"/>
        </w:numPr>
      </w:pPr>
      <w:r>
        <w:t xml:space="preserve">exposure</w:t>
      </w:r>
    </w:p>
    <w:p>
      <w:pPr>
        <w:pStyle w:val="Compact"/>
        <w:numPr>
          <w:ilvl w:val="0"/>
          <w:numId w:val="1025"/>
        </w:numPr>
      </w:pPr>
      <w:r>
        <w:t xml:space="preserve">unrealized profit or loss</w:t>
      </w:r>
    </w:p>
    <w:p>
      <w:pPr>
        <w:pStyle w:val="Compact"/>
        <w:numPr>
          <w:ilvl w:val="0"/>
          <w:numId w:val="1025"/>
        </w:numPr>
      </w:pPr>
      <w:r>
        <w:t xml:space="preserve">realized profit or loss</w:t>
      </w:r>
    </w:p>
    <w:p>
      <w:pPr>
        <w:pStyle w:val="Compact"/>
        <w:numPr>
          <w:ilvl w:val="0"/>
          <w:numId w:val="1025"/>
        </w:numPr>
      </w:pPr>
      <w:r>
        <w:t xml:space="preserve">allocation</w:t>
      </w:r>
    </w:p>
    <w:p>
      <w:pPr>
        <w:pStyle w:val="Compact"/>
        <w:numPr>
          <w:ilvl w:val="0"/>
          <w:numId w:val="1025"/>
        </w:numPr>
      </w:pPr>
      <w:r>
        <w:t xml:space="preserve">account state</w:t>
      </w:r>
    </w:p>
    <w:p>
      <w:pPr>
        <w:pStyle w:val="Compact"/>
        <w:numPr>
          <w:ilvl w:val="0"/>
          <w:numId w:val="1025"/>
        </w:numPr>
      </w:pPr>
      <w:r>
        <w:t xml:space="preserve">broker-derived values</w:t>
      </w:r>
    </w:p>
    <w:p>
      <w:pPr>
        <w:pStyle w:val="Compact"/>
        <w:numPr>
          <w:ilvl w:val="0"/>
          <w:numId w:val="1025"/>
        </w:numPr>
      </w:pPr>
      <w:r>
        <w:t xml:space="preserve">local values</w:t>
      </w:r>
    </w:p>
    <w:p>
      <w:pPr>
        <w:pStyle w:val="FirstParagraph"/>
      </w:pPr>
      <w:r>
        <w:t xml:space="preserve">Unavailable values shall not be treated as zero.</w:t>
      </w:r>
    </w:p>
    <w:p>
      <w:pPr>
        <w:pStyle w:val="BodyText"/>
      </w:pPr>
      <w:r>
        <w:t xml:space="preserve">Broker-derived and locally calculated values may differ until reconciliation is complete.</w:t>
      </w:r>
    </w:p>
    <w:p>
      <w:r>
        <w:pict>
          <v:rect style="width:0;height:1.5pt" o:hralign="center" o:hrstd="t" o:hr="t"/>
        </w:pict>
      </w:r>
    </w:p>
    <w:bookmarkEnd w:id="37"/>
    <w:bookmarkStart w:id="38" w:name="risk-view"/>
    <w:p>
      <w:pPr>
        <w:pStyle w:val="Heading1"/>
      </w:pPr>
      <w:r>
        <w:t xml:space="preserve">Risk View</w:t>
      </w:r>
    </w:p>
    <w:p>
      <w:pPr>
        <w:pStyle w:val="FirstParagraph"/>
      </w:pPr>
      <w:r>
        <w:t xml:space="preserve">Risk information supports trading review and operational awareness.</w:t>
      </w:r>
    </w:p>
    <w:p>
      <w:pPr>
        <w:pStyle w:val="BodyText"/>
      </w:pPr>
      <w:r>
        <w:t xml:space="preserve">Possible information includes:</w:t>
      </w:r>
    </w:p>
    <w:p>
      <w:pPr>
        <w:pStyle w:val="Compact"/>
        <w:numPr>
          <w:ilvl w:val="0"/>
          <w:numId w:val="1026"/>
        </w:numPr>
      </w:pPr>
      <w:r>
        <w:t xml:space="preserve">position exposure</w:t>
      </w:r>
    </w:p>
    <w:p>
      <w:pPr>
        <w:pStyle w:val="Compact"/>
        <w:numPr>
          <w:ilvl w:val="0"/>
          <w:numId w:val="1026"/>
        </w:numPr>
      </w:pPr>
      <w:r>
        <w:t xml:space="preserve">portfolio exposure</w:t>
      </w:r>
    </w:p>
    <w:p>
      <w:pPr>
        <w:pStyle w:val="Compact"/>
        <w:numPr>
          <w:ilvl w:val="0"/>
          <w:numId w:val="1026"/>
        </w:numPr>
      </w:pPr>
      <w:r>
        <w:t xml:space="preserve">concentration</w:t>
      </w:r>
    </w:p>
    <w:p>
      <w:pPr>
        <w:pStyle w:val="Compact"/>
        <w:numPr>
          <w:ilvl w:val="0"/>
          <w:numId w:val="1026"/>
        </w:numPr>
      </w:pPr>
      <w:r>
        <w:t xml:space="preserve">order risk validation</w:t>
      </w:r>
    </w:p>
    <w:p>
      <w:pPr>
        <w:pStyle w:val="Compact"/>
        <w:numPr>
          <w:ilvl w:val="0"/>
          <w:numId w:val="1026"/>
        </w:numPr>
      </w:pPr>
      <w:r>
        <w:t xml:space="preserve">trading limits</w:t>
      </w:r>
    </w:p>
    <w:p>
      <w:pPr>
        <w:pStyle w:val="Compact"/>
        <w:numPr>
          <w:ilvl w:val="0"/>
          <w:numId w:val="1026"/>
        </w:numPr>
      </w:pPr>
      <w:r>
        <w:t xml:space="preserve">risk alerts</w:t>
      </w:r>
    </w:p>
    <w:p>
      <w:pPr>
        <w:pStyle w:val="FirstParagraph"/>
      </w:pPr>
      <w:r>
        <w:t xml:space="preserve">Risk information depends on available market, portfolio and position data.</w:t>
      </w:r>
    </w:p>
    <w:p>
      <w:pPr>
        <w:pStyle w:val="BodyText"/>
      </w:pPr>
      <w:r>
        <w:t xml:space="preserve">If required data is stale or unavailable, risk information may also be incomplete.</w:t>
      </w:r>
    </w:p>
    <w:p>
      <w:r>
        <w:pict>
          <v:rect style="width:0;height:1.5pt" o:hralign="center" o:hrstd="t" o:hr="t"/>
        </w:pict>
      </w:r>
    </w:p>
    <w:bookmarkEnd w:id="38"/>
    <w:bookmarkStart w:id="39" w:name="reconciliation"/>
    <w:p>
      <w:pPr>
        <w:pStyle w:val="Heading1"/>
      </w:pPr>
      <w:r>
        <w:t xml:space="preserve">Reconciliation</w:t>
      </w:r>
    </w:p>
    <w:p>
      <w:pPr>
        <w:pStyle w:val="FirstParagraph"/>
      </w:pPr>
      <w:r>
        <w:t xml:space="preserve">Reconciliation compares local application state with broker-derived state.</w:t>
      </w:r>
    </w:p>
    <w:p>
      <w:pPr>
        <w:pStyle w:val="BodyText"/>
      </w:pPr>
      <w:r>
        <w:t xml:space="preserve">Possible reconciliation outcomes:</w:t>
      </w:r>
    </w:p>
    <w:p>
      <w:pPr>
        <w:pStyle w:val="Compact"/>
        <w:numPr>
          <w:ilvl w:val="0"/>
          <w:numId w:val="1027"/>
        </w:numPr>
      </w:pPr>
      <w:r>
        <w:t xml:space="preserve">no discrepancy</w:t>
      </w:r>
    </w:p>
    <w:p>
      <w:pPr>
        <w:pStyle w:val="Compact"/>
        <w:numPr>
          <w:ilvl w:val="0"/>
          <w:numId w:val="1027"/>
        </w:numPr>
      </w:pPr>
      <w:r>
        <w:t xml:space="preserve">discrepancy detected</w:t>
      </w:r>
    </w:p>
    <w:p>
      <w:pPr>
        <w:pStyle w:val="Compact"/>
        <w:numPr>
          <w:ilvl w:val="0"/>
          <w:numId w:val="1027"/>
        </w:numPr>
      </w:pPr>
      <w:r>
        <w:t xml:space="preserve">action required</w:t>
      </w:r>
    </w:p>
    <w:p>
      <w:pPr>
        <w:pStyle w:val="Compact"/>
        <w:numPr>
          <w:ilvl w:val="0"/>
          <w:numId w:val="1027"/>
        </w:numPr>
      </w:pPr>
      <w:r>
        <w:t xml:space="preserve">reconciliation failed</w:t>
      </w:r>
    </w:p>
    <w:p>
      <w:pPr>
        <w:pStyle w:val="FirstParagraph"/>
      </w:pPr>
      <w:r>
        <w:t xml:space="preserve">A discrepancy may involve:</w:t>
      </w:r>
    </w:p>
    <w:p>
      <w:pPr>
        <w:pStyle w:val="Compact"/>
        <w:numPr>
          <w:ilvl w:val="0"/>
          <w:numId w:val="1028"/>
        </w:numPr>
      </w:pPr>
      <w:r>
        <w:t xml:space="preserve">missing local order</w:t>
      </w:r>
    </w:p>
    <w:p>
      <w:pPr>
        <w:pStyle w:val="Compact"/>
        <w:numPr>
          <w:ilvl w:val="0"/>
          <w:numId w:val="1028"/>
        </w:numPr>
      </w:pPr>
      <w:r>
        <w:t xml:space="preserve">missing broker order</w:t>
      </w:r>
    </w:p>
    <w:p>
      <w:pPr>
        <w:pStyle w:val="Compact"/>
        <w:numPr>
          <w:ilvl w:val="0"/>
          <w:numId w:val="1028"/>
        </w:numPr>
      </w:pPr>
      <w:r>
        <w:t xml:space="preserve">order state mismatch</w:t>
      </w:r>
    </w:p>
    <w:p>
      <w:pPr>
        <w:pStyle w:val="Compact"/>
        <w:numPr>
          <w:ilvl w:val="0"/>
          <w:numId w:val="1028"/>
        </w:numPr>
      </w:pPr>
      <w:r>
        <w:t xml:space="preserve">position state mismatch</w:t>
      </w:r>
    </w:p>
    <w:p>
      <w:pPr>
        <w:pStyle w:val="Compact"/>
        <w:numPr>
          <w:ilvl w:val="0"/>
          <w:numId w:val="1028"/>
        </w:numPr>
      </w:pPr>
      <w:r>
        <w:t xml:space="preserve">quantity mismatch</w:t>
      </w:r>
    </w:p>
    <w:p>
      <w:pPr>
        <w:pStyle w:val="FirstParagraph"/>
      </w:pPr>
      <w:r>
        <w:t xml:space="preserve">Reconciliation observation does not automatically mean repair.</w:t>
      </w:r>
    </w:p>
    <w:p>
      <w:pPr>
        <w:pStyle w:val="BodyText"/>
      </w:pPr>
      <w:r>
        <w:t xml:space="preserve">Repair actions require explicit workflow support and user review where applicable.</w:t>
      </w:r>
    </w:p>
    <w:p>
      <w:r>
        <w:pict>
          <v:rect style="width:0;height:1.5pt" o:hralign="center" o:hrstd="t" o:hr="t"/>
        </w:pict>
      </w:r>
    </w:p>
    <w:bookmarkEnd w:id="39"/>
    <w:bookmarkStart w:id="40" w:name="notifications"/>
    <w:p>
      <w:pPr>
        <w:pStyle w:val="Heading1"/>
      </w:pPr>
      <w:r>
        <w:t xml:space="preserve">Notifications</w:t>
      </w:r>
    </w:p>
    <w:p>
      <w:pPr>
        <w:pStyle w:val="FirstParagraph"/>
      </w:pPr>
      <w:r>
        <w:t xml:space="preserve">Notifications communicate operationally relevant information.</w:t>
      </w:r>
    </w:p>
    <w:p>
      <w:pPr>
        <w:pStyle w:val="BodyText"/>
      </w:pPr>
      <w:r>
        <w:t xml:space="preserve">Possible levels:</w:t>
      </w:r>
    </w:p>
    <w:p>
      <w:pPr>
        <w:pStyle w:val="Compact"/>
        <w:numPr>
          <w:ilvl w:val="0"/>
          <w:numId w:val="1029"/>
        </w:numPr>
      </w:pPr>
      <w:r>
        <w:t xml:space="preserve">Information</w:t>
      </w:r>
    </w:p>
    <w:p>
      <w:pPr>
        <w:pStyle w:val="Compact"/>
        <w:numPr>
          <w:ilvl w:val="0"/>
          <w:numId w:val="1029"/>
        </w:numPr>
      </w:pPr>
      <w:r>
        <w:t xml:space="preserve">Warning</w:t>
      </w:r>
    </w:p>
    <w:p>
      <w:pPr>
        <w:pStyle w:val="Compact"/>
        <w:numPr>
          <w:ilvl w:val="0"/>
          <w:numId w:val="1029"/>
        </w:numPr>
      </w:pPr>
      <w:r>
        <w:t xml:space="preserve">Error</w:t>
      </w:r>
    </w:p>
    <w:p>
      <w:pPr>
        <w:pStyle w:val="Compact"/>
        <w:numPr>
          <w:ilvl w:val="0"/>
          <w:numId w:val="1029"/>
        </w:numPr>
      </w:pPr>
      <w:r>
        <w:t xml:space="preserve">Critical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0"/>
        </w:numPr>
      </w:pPr>
      <w:r>
        <w:t xml:space="preserve">broker disconnected</w:t>
      </w:r>
    </w:p>
    <w:p>
      <w:pPr>
        <w:pStyle w:val="Compact"/>
        <w:numPr>
          <w:ilvl w:val="0"/>
          <w:numId w:val="1030"/>
        </w:numPr>
      </w:pPr>
      <w:r>
        <w:t xml:space="preserve">market data stale</w:t>
      </w:r>
    </w:p>
    <w:p>
      <w:pPr>
        <w:pStyle w:val="Compact"/>
        <w:numPr>
          <w:ilvl w:val="0"/>
          <w:numId w:val="1030"/>
        </w:numPr>
      </w:pPr>
      <w:r>
        <w:t xml:space="preserve">order rejected</w:t>
      </w:r>
    </w:p>
    <w:p>
      <w:pPr>
        <w:pStyle w:val="Compact"/>
        <w:numPr>
          <w:ilvl w:val="0"/>
          <w:numId w:val="1030"/>
        </w:numPr>
      </w:pPr>
      <w:r>
        <w:t xml:space="preserve">reconciliation discrepancy</w:t>
      </w:r>
    </w:p>
    <w:p>
      <w:pPr>
        <w:pStyle w:val="Compact"/>
        <w:numPr>
          <w:ilvl w:val="0"/>
          <w:numId w:val="1030"/>
        </w:numPr>
      </w:pPr>
      <w:r>
        <w:t xml:space="preserve">background service failure</w:t>
      </w:r>
    </w:p>
    <w:p>
      <w:pPr>
        <w:pStyle w:val="FirstParagraph"/>
      </w:pPr>
      <w:r>
        <w:t xml:space="preserve">Critical trading events should remain visible until appropriately handled.</w:t>
      </w:r>
    </w:p>
    <w:p>
      <w:pPr>
        <w:pStyle w:val="BodyText"/>
      </w:pPr>
      <w:r>
        <w:t xml:space="preserve">Routine noise should not distract from operationally important information.</w:t>
      </w:r>
    </w:p>
    <w:p>
      <w:r>
        <w:pict>
          <v:rect style="width:0;height:1.5pt" o:hralign="center" o:hrstd="t" o:hr="t"/>
        </w:pict>
      </w:r>
    </w:p>
    <w:bookmarkEnd w:id="40"/>
    <w:bookmarkStart w:id="41" w:name="command-palette"/>
    <w:p>
      <w:pPr>
        <w:pStyle w:val="Heading1"/>
      </w:pPr>
      <w:r>
        <w:t xml:space="preserve">Command Palette</w:t>
      </w:r>
    </w:p>
    <w:p>
      <w:pPr>
        <w:pStyle w:val="FirstParagraph"/>
      </w:pPr>
      <w:r>
        <w:t xml:space="preserve">The Command Palette supports keyboard-driven workflows.</w:t>
      </w:r>
    </w:p>
    <w:p>
      <w:pPr>
        <w:pStyle w:val="BodyText"/>
      </w:pPr>
      <w:r>
        <w:t xml:space="preserve">Possible commands:</w:t>
      </w:r>
    </w:p>
    <w:p>
      <w:pPr>
        <w:pStyle w:val="Compact"/>
        <w:numPr>
          <w:ilvl w:val="0"/>
          <w:numId w:val="1031"/>
        </w:numPr>
      </w:pPr>
      <w:r>
        <w:t xml:space="preserve">open widget</w:t>
      </w:r>
    </w:p>
    <w:p>
      <w:pPr>
        <w:pStyle w:val="Compact"/>
        <w:numPr>
          <w:ilvl w:val="0"/>
          <w:numId w:val="1031"/>
        </w:numPr>
      </w:pPr>
      <w:r>
        <w:t xml:space="preserve">close widget</w:t>
      </w:r>
    </w:p>
    <w:p>
      <w:pPr>
        <w:pStyle w:val="Compact"/>
        <w:numPr>
          <w:ilvl w:val="0"/>
          <w:numId w:val="1031"/>
        </w:numPr>
      </w:pPr>
      <w:r>
        <w:t xml:space="preserve">switch workspace</w:t>
      </w:r>
    </w:p>
    <w:p>
      <w:pPr>
        <w:pStyle w:val="Compact"/>
        <w:numPr>
          <w:ilvl w:val="0"/>
          <w:numId w:val="1031"/>
        </w:numPr>
      </w:pPr>
      <w:r>
        <w:t xml:space="preserve">select instrument</w:t>
      </w:r>
    </w:p>
    <w:p>
      <w:pPr>
        <w:pStyle w:val="Compact"/>
        <w:numPr>
          <w:ilvl w:val="0"/>
          <w:numId w:val="1031"/>
        </w:numPr>
      </w:pPr>
      <w:r>
        <w:t xml:space="preserve">open settings</w:t>
      </w:r>
    </w:p>
    <w:p>
      <w:pPr>
        <w:pStyle w:val="Compact"/>
        <w:numPr>
          <w:ilvl w:val="0"/>
          <w:numId w:val="1031"/>
        </w:numPr>
      </w:pPr>
      <w:r>
        <w:t xml:space="preserve">refresh data</w:t>
      </w:r>
    </w:p>
    <w:p>
      <w:pPr>
        <w:pStyle w:val="Compact"/>
        <w:numPr>
          <w:ilvl w:val="0"/>
          <w:numId w:val="1031"/>
        </w:numPr>
      </w:pPr>
      <w:r>
        <w:t xml:space="preserve">execute application command</w:t>
      </w:r>
    </w:p>
    <w:p>
      <w:pPr>
        <w:pStyle w:val="FirstParagraph"/>
      </w:pPr>
      <w:r>
        <w:t xml:space="preserve">Unavailable commands should be disabled or omitted.</w:t>
      </w:r>
    </w:p>
    <w:p>
      <w:pPr>
        <w:pStyle w:val="BodyText"/>
      </w:pPr>
      <w:r>
        <w:t xml:space="preserve">Commands should respect the current application state.</w:t>
      </w:r>
    </w:p>
    <w:p>
      <w:r>
        <w:pict>
          <v:rect style="width:0;height:1.5pt" o:hralign="center" o:hrstd="t" o:hr="t"/>
        </w:pict>
      </w:r>
    </w:p>
    <w:bookmarkEnd w:id="41"/>
    <w:bookmarkStart w:id="42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Tables are used heavily throughout the Trading Cockpit.</w:t>
      </w:r>
    </w:p>
    <w:p>
      <w:pPr>
        <w:pStyle w:val="BodyText"/>
      </w:pPr>
      <w:r>
        <w:t xml:space="preserve">Typical table capabilities may include:</w:t>
      </w:r>
    </w:p>
    <w:p>
      <w:pPr>
        <w:pStyle w:val="Compact"/>
        <w:numPr>
          <w:ilvl w:val="0"/>
          <w:numId w:val="1032"/>
        </w:numPr>
      </w:pPr>
      <w:r>
        <w:t xml:space="preserve">sorting</w:t>
      </w:r>
    </w:p>
    <w:p>
      <w:pPr>
        <w:pStyle w:val="Compact"/>
        <w:numPr>
          <w:ilvl w:val="0"/>
          <w:numId w:val="1032"/>
        </w:numPr>
      </w:pPr>
      <w:r>
        <w:t xml:space="preserve">filtering</w:t>
      </w:r>
    </w:p>
    <w:p>
      <w:pPr>
        <w:pStyle w:val="Compact"/>
        <w:numPr>
          <w:ilvl w:val="0"/>
          <w:numId w:val="1032"/>
        </w:numPr>
      </w:pPr>
      <w:r>
        <w:t xml:space="preserve">column resizing</w:t>
      </w:r>
    </w:p>
    <w:p>
      <w:pPr>
        <w:pStyle w:val="Compact"/>
        <w:numPr>
          <w:ilvl w:val="0"/>
          <w:numId w:val="1032"/>
        </w:numPr>
      </w:pPr>
      <w:r>
        <w:t xml:space="preserve">column reordering</w:t>
      </w:r>
    </w:p>
    <w:p>
      <w:pPr>
        <w:pStyle w:val="Compact"/>
        <w:numPr>
          <w:ilvl w:val="0"/>
          <w:numId w:val="1032"/>
        </w:numPr>
      </w:pPr>
      <w:r>
        <w:t xml:space="preserve">row selection</w:t>
      </w:r>
    </w:p>
    <w:p>
      <w:pPr>
        <w:pStyle w:val="Compact"/>
        <w:numPr>
          <w:ilvl w:val="0"/>
          <w:numId w:val="1032"/>
        </w:numPr>
      </w:pPr>
      <w:r>
        <w:t xml:space="preserve">multi-selection</w:t>
      </w:r>
    </w:p>
    <w:p>
      <w:pPr>
        <w:pStyle w:val="Compact"/>
        <w:numPr>
          <w:ilvl w:val="0"/>
          <w:numId w:val="1032"/>
        </w:numPr>
      </w:pPr>
      <w:r>
        <w:t xml:space="preserve">context menus</w:t>
      </w:r>
    </w:p>
    <w:p>
      <w:pPr>
        <w:pStyle w:val="Compact"/>
        <w:numPr>
          <w:ilvl w:val="0"/>
          <w:numId w:val="1032"/>
        </w:numPr>
      </w:pPr>
      <w:r>
        <w:t xml:space="preserve">persistent column state</w:t>
      </w:r>
    </w:p>
    <w:p>
      <w:pPr>
        <w:pStyle w:val="FirstParagraph"/>
      </w:pPr>
      <w:r>
        <w:t xml:space="preserve">Numeric and financial values should be formatted consistently.</w:t>
      </w:r>
    </w:p>
    <w:p>
      <w:r>
        <w:pict>
          <v:rect style="width:0;height:1.5pt" o:hralign="center" o:hrstd="t" o:hr="t"/>
        </w:pict>
      </w:r>
    </w:p>
    <w:bookmarkEnd w:id="42"/>
    <w:bookmarkStart w:id="43" w:name="financial-values"/>
    <w:p>
      <w:pPr>
        <w:pStyle w:val="Heading1"/>
      </w:pPr>
      <w:r>
        <w:t xml:space="preserve">Financial Values</w:t>
      </w:r>
    </w:p>
    <w:p>
      <w:pPr>
        <w:pStyle w:val="FirstParagraph"/>
      </w:pPr>
      <w:r>
        <w:t xml:space="preserve">Financial values may include:</w:t>
      </w:r>
    </w:p>
    <w:p>
      <w:pPr>
        <w:pStyle w:val="Compact"/>
        <w:numPr>
          <w:ilvl w:val="0"/>
          <w:numId w:val="1033"/>
        </w:numPr>
      </w:pPr>
      <w:r>
        <w:t xml:space="preserve">prices</w:t>
      </w:r>
    </w:p>
    <w:p>
      <w:pPr>
        <w:pStyle w:val="Compact"/>
        <w:numPr>
          <w:ilvl w:val="0"/>
          <w:numId w:val="1033"/>
        </w:numPr>
      </w:pPr>
      <w:r>
        <w:t xml:space="preserve">quantities</w:t>
      </w:r>
    </w:p>
    <w:p>
      <w:pPr>
        <w:pStyle w:val="Compact"/>
        <w:numPr>
          <w:ilvl w:val="0"/>
          <w:numId w:val="1033"/>
        </w:numPr>
      </w:pPr>
      <w:r>
        <w:t xml:space="preserve">currency values</w:t>
      </w:r>
    </w:p>
    <w:p>
      <w:pPr>
        <w:pStyle w:val="Compact"/>
        <w:numPr>
          <w:ilvl w:val="0"/>
          <w:numId w:val="1033"/>
        </w:numPr>
      </w:pPr>
      <w:r>
        <w:t xml:space="preserve">percentages</w:t>
      </w:r>
    </w:p>
    <w:p>
      <w:pPr>
        <w:pStyle w:val="Compact"/>
        <w:numPr>
          <w:ilvl w:val="0"/>
          <w:numId w:val="1033"/>
        </w:numPr>
      </w:pPr>
      <w:r>
        <w:t xml:space="preserve">exposure</w:t>
      </w:r>
    </w:p>
    <w:p>
      <w:pPr>
        <w:pStyle w:val="Compact"/>
        <w:numPr>
          <w:ilvl w:val="0"/>
          <w:numId w:val="1033"/>
        </w:numPr>
      </w:pPr>
      <w:r>
        <w:t xml:space="preserve">profit and loss</w:t>
      </w:r>
    </w:p>
    <w:p>
      <w:pPr>
        <w:pStyle w:val="FirstParagraph"/>
      </w:pPr>
      <w:r>
        <w:t xml:space="preserve">Review precision, sign and availability.</w:t>
      </w:r>
    </w:p>
    <w:p>
      <w:pPr>
        <w:pStyle w:val="BodyText"/>
      </w:pPr>
      <w:r>
        <w:t xml:space="preserve">Important distinction:</w:t>
      </w:r>
    </w:p>
    <w:p>
      <w:pPr>
        <w:pStyle w:val="SourceCode"/>
      </w:pP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The application shall not invent missing financial information.</w:t>
      </w:r>
    </w:p>
    <w:p>
      <w:r>
        <w:pict>
          <v:rect style="width:0;height:1.5pt" o:hralign="center" o:hrstd="t" o:hr="t"/>
        </w:pict>
      </w:r>
    </w:p>
    <w:bookmarkEnd w:id="43"/>
    <w:bookmarkStart w:id="44" w:name="timestamps"/>
    <w:p>
      <w:pPr>
        <w:pStyle w:val="Heading1"/>
      </w:pPr>
      <w:r>
        <w:t xml:space="preserve">Timestamps</w:t>
      </w:r>
    </w:p>
    <w:p>
      <w:pPr>
        <w:pStyle w:val="FirstParagraph"/>
      </w:pPr>
      <w:r>
        <w:t xml:space="preserve">Trading information may have multiple timestamp sources.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4"/>
        </w:numPr>
      </w:pPr>
      <w:r>
        <w:t xml:space="preserve">market timestamp</w:t>
      </w:r>
    </w:p>
    <w:p>
      <w:pPr>
        <w:pStyle w:val="Compact"/>
        <w:numPr>
          <w:ilvl w:val="0"/>
          <w:numId w:val="1034"/>
        </w:numPr>
      </w:pPr>
      <w:r>
        <w:t xml:space="preserve">broker timestamp</w:t>
      </w:r>
    </w:p>
    <w:p>
      <w:pPr>
        <w:pStyle w:val="Compact"/>
        <w:numPr>
          <w:ilvl w:val="0"/>
          <w:numId w:val="1034"/>
        </w:numPr>
      </w:pPr>
      <w:r>
        <w:t xml:space="preserve">local application timestamp</w:t>
      </w:r>
    </w:p>
    <w:p>
      <w:pPr>
        <w:pStyle w:val="FirstParagraph"/>
      </w:pPr>
      <w:r>
        <w:t xml:space="preserve">Users should verify timezone context where relevant.</w:t>
      </w:r>
    </w:p>
    <w:p>
      <w:pPr>
        <w:pStyle w:val="BodyText"/>
      </w:pPr>
      <w:r>
        <w:t xml:space="preserve">Do not assume different timestamps refer to the same source or timezone.</w:t>
      </w:r>
    </w:p>
    <w:p>
      <w:r>
        <w:pict>
          <v:rect style="width:0;height:1.5pt" o:hralign="center" o:hrstd="t" o:hr="t"/>
        </w:pict>
      </w:r>
    </w:p>
    <w:bookmarkEnd w:id="44"/>
    <w:bookmarkStart w:id="45" w:name="workspace-persistence"/>
    <w:p>
      <w:pPr>
        <w:pStyle w:val="Heading1"/>
      </w:pPr>
      <w:r>
        <w:t xml:space="preserve">Workspace Persistence</w:t>
      </w:r>
    </w:p>
    <w:p>
      <w:pPr>
        <w:pStyle w:val="FirstParagraph"/>
      </w:pPr>
      <w:r>
        <w:t xml:space="preserve">The application may persist UI state such as:</w:t>
      </w:r>
    </w:p>
    <w:p>
      <w:pPr>
        <w:pStyle w:val="Compact"/>
        <w:numPr>
          <w:ilvl w:val="0"/>
          <w:numId w:val="1035"/>
        </w:numPr>
      </w:pPr>
      <w:r>
        <w:t xml:space="preserve">workspace layout</w:t>
      </w:r>
    </w:p>
    <w:p>
      <w:pPr>
        <w:pStyle w:val="Compact"/>
        <w:numPr>
          <w:ilvl w:val="0"/>
          <w:numId w:val="1035"/>
        </w:numPr>
      </w:pPr>
      <w:r>
        <w:t xml:space="preserve">widget visibility</w:t>
      </w:r>
    </w:p>
    <w:p>
      <w:pPr>
        <w:pStyle w:val="Compact"/>
        <w:numPr>
          <w:ilvl w:val="0"/>
          <w:numId w:val="1035"/>
        </w:numPr>
      </w:pPr>
      <w:r>
        <w:t xml:space="preserve">widget position</w:t>
      </w:r>
    </w:p>
    <w:p>
      <w:pPr>
        <w:pStyle w:val="Compact"/>
        <w:numPr>
          <w:ilvl w:val="0"/>
          <w:numId w:val="1035"/>
        </w:numPr>
      </w:pPr>
      <w:r>
        <w:t xml:space="preserve">widget size</w:t>
      </w:r>
    </w:p>
    <w:p>
      <w:pPr>
        <w:pStyle w:val="Compact"/>
        <w:numPr>
          <w:ilvl w:val="0"/>
          <w:numId w:val="1035"/>
        </w:numPr>
      </w:pPr>
      <w:r>
        <w:t xml:space="preserve">table columns</w:t>
      </w:r>
    </w:p>
    <w:p>
      <w:pPr>
        <w:pStyle w:val="Compact"/>
        <w:numPr>
          <w:ilvl w:val="0"/>
          <w:numId w:val="1035"/>
        </w:numPr>
      </w:pPr>
      <w:r>
        <w:t xml:space="preserve">sorting</w:t>
      </w:r>
    </w:p>
    <w:p>
      <w:pPr>
        <w:pStyle w:val="Compact"/>
        <w:numPr>
          <w:ilvl w:val="0"/>
          <w:numId w:val="1035"/>
        </w:numPr>
      </w:pPr>
      <w:r>
        <w:t xml:space="preserve">filters</w:t>
      </w:r>
    </w:p>
    <w:p>
      <w:pPr>
        <w:pStyle w:val="Compact"/>
        <w:numPr>
          <w:ilvl w:val="0"/>
          <w:numId w:val="1035"/>
        </w:numPr>
      </w:pPr>
      <w:r>
        <w:t xml:space="preserve">selected timeframe</w:t>
      </w:r>
    </w:p>
    <w:p>
      <w:pPr>
        <w:pStyle w:val="FirstParagraph"/>
      </w:pPr>
      <w:r>
        <w:t xml:space="preserve">Business data is separate from UI layout state.</w:t>
      </w:r>
    </w:p>
    <w:p>
      <w:pPr>
        <w:pStyle w:val="BodyText"/>
      </w:pPr>
      <w:r>
        <w:t xml:space="preserve">A restored workspace does not necessarily mean all trading data is current.</w:t>
      </w:r>
    </w:p>
    <w:p>
      <w:pPr>
        <w:pStyle w:val="BodyText"/>
      </w:pPr>
      <w:r>
        <w:t xml:space="preserve">Always verify data state after startup or reconnect.</w:t>
      </w:r>
    </w:p>
    <w:p>
      <w:r>
        <w:pict>
          <v:rect style="width:0;height:1.5pt" o:hralign="center" o:hrstd="t" o:hr="t"/>
        </w:pict>
      </w:r>
    </w:p>
    <w:bookmarkEnd w:id="45"/>
    <w:bookmarkStart w:id="46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When an error occurs:</w:t>
      </w:r>
    </w:p>
    <w:p>
      <w:pPr>
        <w:pStyle w:val="Compact"/>
        <w:numPr>
          <w:ilvl w:val="0"/>
          <w:numId w:val="1036"/>
        </w:numPr>
      </w:pPr>
      <w:r>
        <w:t xml:space="preserve">Read the visible error message.</w:t>
      </w:r>
    </w:p>
    <w:p>
      <w:pPr>
        <w:pStyle w:val="Compact"/>
        <w:numPr>
          <w:ilvl w:val="0"/>
          <w:numId w:val="1036"/>
        </w:numPr>
      </w:pPr>
      <w:r>
        <w:t xml:space="preserve">Identify the affected capability.</w:t>
      </w:r>
    </w:p>
    <w:p>
      <w:pPr>
        <w:pStyle w:val="Compact"/>
        <w:numPr>
          <w:ilvl w:val="0"/>
          <w:numId w:val="1036"/>
        </w:numPr>
      </w:pPr>
      <w:r>
        <w:t xml:space="preserve">Check whether user action is required.</w:t>
      </w:r>
    </w:p>
    <w:p>
      <w:pPr>
        <w:pStyle w:val="Compact"/>
        <w:numPr>
          <w:ilvl w:val="0"/>
          <w:numId w:val="1036"/>
        </w:numPr>
      </w:pPr>
      <w:r>
        <w:t xml:space="preserve">Avoid repeating trading-critical actions until state is clear.</w:t>
      </w:r>
    </w:p>
    <w:p>
      <w:pPr>
        <w:pStyle w:val="Compact"/>
        <w:numPr>
          <w:ilvl w:val="0"/>
          <w:numId w:val="1036"/>
        </w:numPr>
      </w:pPr>
      <w:r>
        <w:t xml:space="preserve">Review logs where needed.</w:t>
      </w:r>
    </w:p>
    <w:p>
      <w:pPr>
        <w:pStyle w:val="Compact"/>
        <w:numPr>
          <w:ilvl w:val="0"/>
          <w:numId w:val="1036"/>
        </w:numPr>
      </w:pPr>
      <w:r>
        <w:t xml:space="preserve">Contact support or development with relevant context if required.</w:t>
      </w:r>
    </w:p>
    <w:p>
      <w:pPr>
        <w:pStyle w:val="FirstParagraph"/>
      </w:pPr>
      <w:r>
        <w:t xml:space="preserve">Useful information may include:</w:t>
      </w:r>
    </w:p>
    <w:p>
      <w:pPr>
        <w:pStyle w:val="Compact"/>
        <w:numPr>
          <w:ilvl w:val="0"/>
          <w:numId w:val="1037"/>
        </w:numPr>
      </w:pPr>
      <w:r>
        <w:t xml:space="preserve">time of error</w:t>
      </w:r>
    </w:p>
    <w:p>
      <w:pPr>
        <w:pStyle w:val="Compact"/>
        <w:numPr>
          <w:ilvl w:val="0"/>
          <w:numId w:val="1037"/>
        </w:numPr>
      </w:pPr>
      <w:r>
        <w:t xml:space="preserve">active environment</w:t>
      </w:r>
    </w:p>
    <w:p>
      <w:pPr>
        <w:pStyle w:val="Compact"/>
        <w:numPr>
          <w:ilvl w:val="0"/>
          <w:numId w:val="1037"/>
        </w:numPr>
      </w:pPr>
      <w:r>
        <w:t xml:space="preserve">affected instrument</w:t>
      </w:r>
    </w:p>
    <w:p>
      <w:pPr>
        <w:pStyle w:val="Compact"/>
        <w:numPr>
          <w:ilvl w:val="0"/>
          <w:numId w:val="1037"/>
        </w:numPr>
      </w:pPr>
      <w:r>
        <w:t xml:space="preserve">affected order or position</w:t>
      </w:r>
    </w:p>
    <w:p>
      <w:pPr>
        <w:pStyle w:val="Compact"/>
        <w:numPr>
          <w:ilvl w:val="0"/>
          <w:numId w:val="1037"/>
        </w:numPr>
      </w:pPr>
      <w:r>
        <w:t xml:space="preserve">visible application state</w:t>
      </w:r>
    </w:p>
    <w:p>
      <w:pPr>
        <w:pStyle w:val="Compact"/>
        <w:numPr>
          <w:ilvl w:val="0"/>
          <w:numId w:val="1037"/>
        </w:numPr>
      </w:pPr>
      <w:r>
        <w:t xml:space="preserve">relevant log file</w:t>
      </w:r>
    </w:p>
    <w:p>
      <w:pPr>
        <w:pStyle w:val="Compact"/>
        <w:numPr>
          <w:ilvl w:val="0"/>
          <w:numId w:val="1037"/>
        </w:numPr>
      </w:pPr>
      <w:r>
        <w:t xml:space="preserve">steps that led to the error</w:t>
      </w:r>
    </w:p>
    <w:p>
      <w:pPr>
        <w:pStyle w:val="FirstParagraph"/>
      </w:pPr>
      <w:r>
        <w:t xml:space="preserve">Do not share real credentials or sensitive account information unnecessarily.</w:t>
      </w:r>
    </w:p>
    <w:p>
      <w:r>
        <w:pict>
          <v:rect style="width:0;height:1.5pt" o:hralign="center" o:hrstd="t" o:hr="t"/>
        </w:pict>
      </w:r>
    </w:p>
    <w:bookmarkEnd w:id="46"/>
    <w:bookmarkStart w:id="47" w:name="logs"/>
    <w:p>
      <w:pPr>
        <w:pStyle w:val="Heading1"/>
      </w:pPr>
      <w:r>
        <w:t xml:space="preserve">Logs</w:t>
      </w:r>
    </w:p>
    <w:p>
      <w:pPr>
        <w:pStyle w:val="FirstParagraph"/>
      </w:pPr>
      <w:r>
        <w:t xml:space="preserve">Logs are intended for diagnosis and operational review.</w:t>
      </w:r>
    </w:p>
    <w:p>
      <w:pPr>
        <w:pStyle w:val="BodyText"/>
      </w:pPr>
      <w:r>
        <w:t xml:space="preserve">Logs may help explain:</w:t>
      </w:r>
    </w:p>
    <w:p>
      <w:pPr>
        <w:pStyle w:val="Compact"/>
        <w:numPr>
          <w:ilvl w:val="0"/>
          <w:numId w:val="1038"/>
        </w:numPr>
      </w:pPr>
      <w:r>
        <w:t xml:space="preserve">startup behaviour</w:t>
      </w:r>
    </w:p>
    <w:p>
      <w:pPr>
        <w:pStyle w:val="Compact"/>
        <w:numPr>
          <w:ilvl w:val="0"/>
          <w:numId w:val="1038"/>
        </w:numPr>
      </w:pPr>
      <w:r>
        <w:t xml:space="preserve">configuration loading</w:t>
      </w:r>
    </w:p>
    <w:p>
      <w:pPr>
        <w:pStyle w:val="Compact"/>
        <w:numPr>
          <w:ilvl w:val="0"/>
          <w:numId w:val="1038"/>
        </w:numPr>
      </w:pPr>
      <w:r>
        <w:t xml:space="preserve">broker connection state</w:t>
      </w:r>
    </w:p>
    <w:p>
      <w:pPr>
        <w:pStyle w:val="Compact"/>
        <w:numPr>
          <w:ilvl w:val="0"/>
          <w:numId w:val="1038"/>
        </w:numPr>
      </w:pPr>
      <w:r>
        <w:t xml:space="preserve">market data state</w:t>
      </w:r>
    </w:p>
    <w:p>
      <w:pPr>
        <w:pStyle w:val="Compact"/>
        <w:numPr>
          <w:ilvl w:val="0"/>
          <w:numId w:val="1038"/>
        </w:numPr>
      </w:pPr>
      <w:r>
        <w:t xml:space="preserve">order workflow events</w:t>
      </w:r>
    </w:p>
    <w:p>
      <w:pPr>
        <w:pStyle w:val="Compact"/>
        <w:numPr>
          <w:ilvl w:val="0"/>
          <w:numId w:val="1038"/>
        </w:numPr>
      </w:pPr>
      <w:r>
        <w:t xml:space="preserve">reconciliation events</w:t>
      </w:r>
    </w:p>
    <w:p>
      <w:pPr>
        <w:pStyle w:val="Compact"/>
        <w:numPr>
          <w:ilvl w:val="0"/>
          <w:numId w:val="1038"/>
        </w:numPr>
      </w:pPr>
      <w:r>
        <w:t xml:space="preserve">runtime failures</w:t>
      </w:r>
    </w:p>
    <w:p>
      <w:pPr>
        <w:pStyle w:val="FirstParagraph"/>
      </w:pPr>
      <w:r>
        <w:t xml:space="preserve">Logs are not a replacement for authoritative business state.</w:t>
      </w:r>
    </w:p>
    <w:p>
      <w:pPr>
        <w:pStyle w:val="BodyText"/>
      </w:pPr>
      <w:r>
        <w:t xml:space="preserve">For trading-critical workflows, review the visible application state and broker state where applicable.</w:t>
      </w:r>
    </w:p>
    <w:p>
      <w:r>
        <w:pict>
          <v:rect style="width:0;height:1.5pt" o:hralign="center" o:hrstd="t" o:hr="t"/>
        </w:pict>
      </w:r>
    </w:p>
    <w:bookmarkEnd w:id="47"/>
    <w:bookmarkStart w:id="48" w:name="safe-operating-practices"/>
    <w:p>
      <w:pPr>
        <w:pStyle w:val="Heading1"/>
      </w:pPr>
      <w:r>
        <w:t xml:space="preserve">Safe Operating Practices</w:t>
      </w:r>
    </w:p>
    <w:p>
      <w:pPr>
        <w:pStyle w:val="FirstParagraph"/>
      </w:pPr>
      <w:r>
        <w:t xml:space="preserve">Before trading-critical action:</w:t>
      </w:r>
    </w:p>
    <w:p>
      <w:pPr>
        <w:pStyle w:val="Compact"/>
        <w:numPr>
          <w:ilvl w:val="0"/>
          <w:numId w:val="1039"/>
        </w:numPr>
      </w:pPr>
      <w:r>
        <w:t xml:space="preserve">verify PAPER or LIVE mode</w:t>
      </w:r>
    </w:p>
    <w:p>
      <w:pPr>
        <w:pStyle w:val="Compact"/>
        <w:numPr>
          <w:ilvl w:val="0"/>
          <w:numId w:val="1039"/>
        </w:numPr>
      </w:pPr>
      <w:r>
        <w:t xml:space="preserve">verify account</w:t>
      </w:r>
    </w:p>
    <w:p>
      <w:pPr>
        <w:pStyle w:val="Compact"/>
        <w:numPr>
          <w:ilvl w:val="0"/>
          <w:numId w:val="1039"/>
        </w:numPr>
      </w:pPr>
      <w:r>
        <w:t xml:space="preserve">verify instrument</w:t>
      </w:r>
    </w:p>
    <w:p>
      <w:pPr>
        <w:pStyle w:val="Compact"/>
        <w:numPr>
          <w:ilvl w:val="0"/>
          <w:numId w:val="1039"/>
        </w:numPr>
      </w:pPr>
      <w:r>
        <w:t xml:space="preserve">verify current data state</w:t>
      </w:r>
    </w:p>
    <w:p>
      <w:pPr>
        <w:pStyle w:val="Compact"/>
        <w:numPr>
          <w:ilvl w:val="0"/>
          <w:numId w:val="1039"/>
        </w:numPr>
      </w:pPr>
      <w:r>
        <w:t xml:space="preserve">verify order parameters</w:t>
      </w:r>
    </w:p>
    <w:p>
      <w:pPr>
        <w:pStyle w:val="Compact"/>
        <w:numPr>
          <w:ilvl w:val="0"/>
          <w:numId w:val="1039"/>
        </w:numPr>
      </w:pPr>
      <w:r>
        <w:t xml:space="preserve">verify broker connection</w:t>
      </w:r>
    </w:p>
    <w:p>
      <w:pPr>
        <w:pStyle w:val="Compact"/>
        <w:numPr>
          <w:ilvl w:val="0"/>
          <w:numId w:val="1039"/>
        </w:numPr>
      </w:pPr>
      <w:r>
        <w:t xml:space="preserve">verify portfolio context</w:t>
      </w:r>
    </w:p>
    <w:p>
      <w:pPr>
        <w:pStyle w:val="Compact"/>
        <w:numPr>
          <w:ilvl w:val="0"/>
          <w:numId w:val="1039"/>
        </w:numPr>
      </w:pPr>
      <w:r>
        <w:t xml:space="preserve">verify risk context</w:t>
      </w:r>
    </w:p>
    <w:p>
      <w:pPr>
        <w:pStyle w:val="Compact"/>
        <w:numPr>
          <w:ilvl w:val="0"/>
          <w:numId w:val="1039"/>
        </w:numPr>
      </w:pPr>
      <w:r>
        <w:t xml:space="preserve">understand expected side effect</w:t>
      </w:r>
    </w:p>
    <w:p>
      <w:pPr>
        <w:pStyle w:val="FirstParagraph"/>
      </w:pPr>
      <w:r>
        <w:t xml:space="preserve">After trading-critical action:</w:t>
      </w:r>
    </w:p>
    <w:p>
      <w:pPr>
        <w:pStyle w:val="Compact"/>
        <w:numPr>
          <w:ilvl w:val="0"/>
          <w:numId w:val="1040"/>
        </w:numPr>
      </w:pPr>
      <w:r>
        <w:t xml:space="preserve">verify acknowledgement state</w:t>
      </w:r>
    </w:p>
    <w:p>
      <w:pPr>
        <w:pStyle w:val="Compact"/>
        <w:numPr>
          <w:ilvl w:val="0"/>
          <w:numId w:val="1040"/>
        </w:numPr>
      </w:pPr>
      <w:r>
        <w:t xml:space="preserve">monitor rejection or fill state</w:t>
      </w:r>
    </w:p>
    <w:p>
      <w:pPr>
        <w:pStyle w:val="Compact"/>
        <w:numPr>
          <w:ilvl w:val="0"/>
          <w:numId w:val="1040"/>
        </w:numPr>
      </w:pPr>
      <w:r>
        <w:t xml:space="preserve">review position impact</w:t>
      </w:r>
    </w:p>
    <w:p>
      <w:pPr>
        <w:pStyle w:val="Compact"/>
        <w:numPr>
          <w:ilvl w:val="0"/>
          <w:numId w:val="1040"/>
        </w:numPr>
      </w:pPr>
      <w:r>
        <w:t xml:space="preserve">review reconciliation state where relevant</w:t>
      </w:r>
    </w:p>
    <w:p>
      <w:r>
        <w:pict>
          <v:rect style="width:0;height:1.5pt" o:hralign="center" o:hrstd="t" o:hr="t"/>
        </w:pict>
      </w:r>
    </w:p>
    <w:bookmarkEnd w:id="48"/>
    <w:bookmarkStart w:id="54" w:name="troubleshooting"/>
    <w:p>
      <w:pPr>
        <w:pStyle w:val="Heading1"/>
      </w:pPr>
      <w:r>
        <w:t xml:space="preserve">Troubleshooting</w:t>
      </w:r>
    </w:p>
    <w:bookmarkStart w:id="49" w:name="application-does-not-start"/>
    <w:p>
      <w:pPr>
        <w:pStyle w:val="Heading2"/>
      </w:pPr>
      <w:r>
        <w:t xml:space="preserve">Application does not start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41"/>
        </w:numPr>
      </w:pPr>
      <w:r>
        <w:t xml:space="preserve">configuration</w:t>
      </w:r>
    </w:p>
    <w:p>
      <w:pPr>
        <w:pStyle w:val="Compact"/>
        <w:numPr>
          <w:ilvl w:val="0"/>
          <w:numId w:val="1041"/>
        </w:numPr>
      </w:pPr>
      <w:r>
        <w:t xml:space="preserve">runtime status</w:t>
      </w:r>
    </w:p>
    <w:p>
      <w:pPr>
        <w:pStyle w:val="Compact"/>
        <w:numPr>
          <w:ilvl w:val="0"/>
          <w:numId w:val="1041"/>
        </w:numPr>
      </w:pPr>
      <w:r>
        <w:t xml:space="preserve">logs</w:t>
      </w:r>
    </w:p>
    <w:p>
      <w:pPr>
        <w:pStyle w:val="Compact"/>
        <w:numPr>
          <w:ilvl w:val="0"/>
          <w:numId w:val="1041"/>
        </w:numPr>
      </w:pPr>
      <w:r>
        <w:t xml:space="preserve">recent changes</w:t>
      </w:r>
    </w:p>
    <w:p>
      <w:pPr>
        <w:pStyle w:val="Compact"/>
        <w:numPr>
          <w:ilvl w:val="0"/>
          <w:numId w:val="1041"/>
        </w:numPr>
      </w:pPr>
      <w:r>
        <w:t xml:space="preserve">dependency installation</w:t>
      </w:r>
    </w:p>
    <w:p>
      <w:pPr>
        <w:pStyle w:val="Compact"/>
        <w:numPr>
          <w:ilvl w:val="0"/>
          <w:numId w:val="1041"/>
        </w:numPr>
      </w:pPr>
      <w:r>
        <w:t xml:space="preserve">environment selection</w:t>
      </w:r>
    </w:p>
    <w:p>
      <w:r>
        <w:pict>
          <v:rect style="width:0;height:1.5pt" o:hralign="center" o:hrstd="t" o:hr="t"/>
        </w:pict>
      </w:r>
    </w:p>
    <w:bookmarkEnd w:id="49"/>
    <w:bookmarkStart w:id="50" w:name="broker-disconnected"/>
    <w:p>
      <w:pPr>
        <w:pStyle w:val="Heading2"/>
      </w:pPr>
      <w:r>
        <w:t xml:space="preserve">Broker disconnected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42"/>
        </w:numPr>
      </w:pPr>
      <w:r>
        <w:t xml:space="preserve">broker application availability</w:t>
      </w:r>
    </w:p>
    <w:p>
      <w:pPr>
        <w:pStyle w:val="Compact"/>
        <w:numPr>
          <w:ilvl w:val="0"/>
          <w:numId w:val="1042"/>
        </w:numPr>
      </w:pPr>
      <w:r>
        <w:t xml:space="preserve">account login state</w:t>
      </w:r>
    </w:p>
    <w:p>
      <w:pPr>
        <w:pStyle w:val="Compact"/>
        <w:numPr>
          <w:ilvl w:val="0"/>
          <w:numId w:val="1042"/>
        </w:numPr>
      </w:pPr>
      <w:r>
        <w:t xml:space="preserve">network state</w:t>
      </w:r>
    </w:p>
    <w:p>
      <w:pPr>
        <w:pStyle w:val="Compact"/>
        <w:numPr>
          <w:ilvl w:val="0"/>
          <w:numId w:val="1042"/>
        </w:numPr>
      </w:pPr>
      <w:r>
        <w:t xml:space="preserve">configured host and port</w:t>
      </w:r>
    </w:p>
    <w:p>
      <w:pPr>
        <w:pStyle w:val="Compact"/>
        <w:numPr>
          <w:ilvl w:val="0"/>
          <w:numId w:val="1042"/>
        </w:numPr>
      </w:pPr>
      <w:r>
        <w:t xml:space="preserve">selected environment</w:t>
      </w:r>
    </w:p>
    <w:p>
      <w:pPr>
        <w:pStyle w:val="Compact"/>
        <w:numPr>
          <w:ilvl w:val="0"/>
          <w:numId w:val="1042"/>
        </w:numPr>
      </w:pPr>
      <w:r>
        <w:t xml:space="preserve">visible broker status</w:t>
      </w:r>
    </w:p>
    <w:p>
      <w:pPr>
        <w:pStyle w:val="FirstParagraph"/>
      </w:pPr>
      <w:r>
        <w:t xml:space="preserve">Avoid broker-dependent actions until the state is understood.</w:t>
      </w:r>
    </w:p>
    <w:p>
      <w:r>
        <w:pict>
          <v:rect style="width:0;height:1.5pt" o:hralign="center" o:hrstd="t" o:hr="t"/>
        </w:pict>
      </w:r>
    </w:p>
    <w:bookmarkEnd w:id="50"/>
    <w:bookmarkStart w:id="51" w:name="market-data-unavailable"/>
    <w:p>
      <w:pPr>
        <w:pStyle w:val="Heading2"/>
      </w:pPr>
      <w:r>
        <w:t xml:space="preserve">Market data unavailable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43"/>
        </w:numPr>
      </w:pPr>
      <w:r>
        <w:t xml:space="preserve">market data connection</w:t>
      </w:r>
    </w:p>
    <w:p>
      <w:pPr>
        <w:pStyle w:val="Compact"/>
        <w:numPr>
          <w:ilvl w:val="0"/>
          <w:numId w:val="1043"/>
        </w:numPr>
      </w:pPr>
      <w:r>
        <w:t xml:space="preserve">subscription state</w:t>
      </w:r>
    </w:p>
    <w:p>
      <w:pPr>
        <w:pStyle w:val="Compact"/>
        <w:numPr>
          <w:ilvl w:val="0"/>
          <w:numId w:val="1043"/>
        </w:numPr>
      </w:pPr>
      <w:r>
        <w:t xml:space="preserve">provider permissions</w:t>
      </w:r>
    </w:p>
    <w:p>
      <w:pPr>
        <w:pStyle w:val="Compact"/>
        <w:numPr>
          <w:ilvl w:val="0"/>
          <w:numId w:val="1043"/>
        </w:numPr>
      </w:pPr>
      <w:r>
        <w:t xml:space="preserve">selected instrument</w:t>
      </w:r>
    </w:p>
    <w:p>
      <w:pPr>
        <w:pStyle w:val="Compact"/>
        <w:numPr>
          <w:ilvl w:val="0"/>
          <w:numId w:val="1043"/>
        </w:numPr>
      </w:pPr>
      <w:r>
        <w:t xml:space="preserve">timestamp and source</w:t>
      </w:r>
    </w:p>
    <w:p>
      <w:pPr>
        <w:pStyle w:val="Compact"/>
        <w:numPr>
          <w:ilvl w:val="0"/>
          <w:numId w:val="1043"/>
        </w:numPr>
      </w:pPr>
      <w:r>
        <w:t xml:space="preserve">stale or unavailable indicators</w:t>
      </w:r>
    </w:p>
    <w:p>
      <w:pPr>
        <w:pStyle w:val="FirstParagraph"/>
      </w:pPr>
      <w:r>
        <w:t xml:space="preserve">Do not treat unavailable market data as zero.</w:t>
      </w:r>
    </w:p>
    <w:p>
      <w:r>
        <w:pict>
          <v:rect style="width:0;height:1.5pt" o:hralign="center" o:hrstd="t" o:hr="t"/>
        </w:pict>
      </w:r>
    </w:p>
    <w:bookmarkEnd w:id="51"/>
    <w:bookmarkStart w:id="52" w:name="order-not-acknowledged"/>
    <w:p>
      <w:pPr>
        <w:pStyle w:val="Heading2"/>
      </w:pPr>
      <w:r>
        <w:t xml:space="preserve">Order not acknowledged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44"/>
        </w:numPr>
      </w:pPr>
      <w:r>
        <w:t xml:space="preserve">order state</w:t>
      </w:r>
    </w:p>
    <w:p>
      <w:pPr>
        <w:pStyle w:val="Compact"/>
        <w:numPr>
          <w:ilvl w:val="0"/>
          <w:numId w:val="1044"/>
        </w:numPr>
      </w:pPr>
      <w:r>
        <w:t xml:space="preserve">broker connection state</w:t>
      </w:r>
    </w:p>
    <w:p>
      <w:pPr>
        <w:pStyle w:val="Compact"/>
        <w:numPr>
          <w:ilvl w:val="0"/>
          <w:numId w:val="1044"/>
        </w:numPr>
      </w:pPr>
      <w:r>
        <w:t xml:space="preserve">broker application</w:t>
      </w:r>
    </w:p>
    <w:p>
      <w:pPr>
        <w:pStyle w:val="Compact"/>
        <w:numPr>
          <w:ilvl w:val="0"/>
          <w:numId w:val="1044"/>
        </w:numPr>
      </w:pPr>
      <w:r>
        <w:t xml:space="preserve">rejection messages</w:t>
      </w:r>
    </w:p>
    <w:p>
      <w:pPr>
        <w:pStyle w:val="Compact"/>
        <w:numPr>
          <w:ilvl w:val="0"/>
          <w:numId w:val="1044"/>
        </w:numPr>
      </w:pPr>
      <w:r>
        <w:t xml:space="preserve">timeout state</w:t>
      </w:r>
    </w:p>
    <w:p>
      <w:pPr>
        <w:pStyle w:val="Compact"/>
        <w:numPr>
          <w:ilvl w:val="0"/>
          <w:numId w:val="1044"/>
        </w:numPr>
      </w:pPr>
      <w:r>
        <w:t xml:space="preserve">orders view</w:t>
      </w:r>
    </w:p>
    <w:p>
      <w:pPr>
        <w:pStyle w:val="Compact"/>
        <w:numPr>
          <w:ilvl w:val="0"/>
          <w:numId w:val="1044"/>
        </w:numPr>
      </w:pPr>
      <w:r>
        <w:t xml:space="preserve">broker-side order list where applicable</w:t>
      </w:r>
    </w:p>
    <w:p>
      <w:pPr>
        <w:pStyle w:val="FirstParagraph"/>
      </w:pPr>
      <w:r>
        <w:t xml:space="preserve">Do not resubmit blindly.</w:t>
      </w:r>
    </w:p>
    <w:p>
      <w:pPr>
        <w:pStyle w:val="BodyText"/>
      </w:pPr>
      <w:r>
        <w:t xml:space="preserve">Unknown external order state requires careful review.</w:t>
      </w:r>
    </w:p>
    <w:p>
      <w:r>
        <w:pict>
          <v:rect style="width:0;height:1.5pt" o:hralign="center" o:hrstd="t" o:hr="t"/>
        </w:pict>
      </w:r>
    </w:p>
    <w:bookmarkEnd w:id="52"/>
    <w:bookmarkStart w:id="53" w:name="position-does-not-match-expectation"/>
    <w:p>
      <w:pPr>
        <w:pStyle w:val="Heading2"/>
      </w:pPr>
      <w:r>
        <w:t xml:space="preserve">Position does not match expectation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45"/>
        </w:numPr>
      </w:pPr>
      <w:r>
        <w:t xml:space="preserve">orders</w:t>
      </w:r>
    </w:p>
    <w:p>
      <w:pPr>
        <w:pStyle w:val="Compact"/>
        <w:numPr>
          <w:ilvl w:val="0"/>
          <w:numId w:val="1045"/>
        </w:numPr>
      </w:pPr>
      <w:r>
        <w:t xml:space="preserve">fills</w:t>
      </w:r>
    </w:p>
    <w:p>
      <w:pPr>
        <w:pStyle w:val="Compact"/>
        <w:numPr>
          <w:ilvl w:val="0"/>
          <w:numId w:val="1045"/>
        </w:numPr>
      </w:pPr>
      <w:r>
        <w:t xml:space="preserve">broker position state</w:t>
      </w:r>
    </w:p>
    <w:p>
      <w:pPr>
        <w:pStyle w:val="Compact"/>
        <w:numPr>
          <w:ilvl w:val="0"/>
          <w:numId w:val="1045"/>
        </w:numPr>
      </w:pPr>
      <w:r>
        <w:t xml:space="preserve">local position state</w:t>
      </w:r>
    </w:p>
    <w:p>
      <w:pPr>
        <w:pStyle w:val="Compact"/>
        <w:numPr>
          <w:ilvl w:val="0"/>
          <w:numId w:val="1045"/>
        </w:numPr>
      </w:pPr>
      <w:r>
        <w:t xml:space="preserve">reconciliation state</w:t>
      </w:r>
    </w:p>
    <w:p>
      <w:pPr>
        <w:pStyle w:val="Compact"/>
        <w:numPr>
          <w:ilvl w:val="0"/>
          <w:numId w:val="1045"/>
        </w:numPr>
      </w:pPr>
      <w:r>
        <w:t xml:space="preserve">timestamps</w:t>
      </w:r>
    </w:p>
    <w:p>
      <w:pPr>
        <w:pStyle w:val="Compact"/>
        <w:numPr>
          <w:ilvl w:val="0"/>
          <w:numId w:val="1045"/>
        </w:numPr>
      </w:pPr>
      <w:r>
        <w:t xml:space="preserve">account selection</w:t>
      </w:r>
    </w:p>
    <w:p>
      <w:pPr>
        <w:pStyle w:val="FirstParagraph"/>
      </w:pPr>
      <w:r>
        <w:t xml:space="preserve">Do not manually overwrite business state unless an explicit approved recovery process exists.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user-review-checklist"/>
    <w:p>
      <w:pPr>
        <w:pStyle w:val="Heading1"/>
      </w:pPr>
      <w:r>
        <w:t xml:space="preserve">User Review Checklist</w:t>
      </w:r>
    </w:p>
    <w:p>
      <w:pPr>
        <w:pStyle w:val="FirstParagraph"/>
      </w:pPr>
      <w:r>
        <w:t xml:space="preserve">Before normal operation verify:</w:t>
      </w:r>
    </w:p>
    <w:p>
      <w:pPr>
        <w:pStyle w:val="Compact"/>
        <w:numPr>
          <w:ilvl w:val="0"/>
          <w:numId w:val="1046"/>
        </w:numPr>
      </w:pPr>
      <w:r>
        <w:t xml:space="preserve">application started correctly</w:t>
      </w:r>
    </w:p>
    <w:p>
      <w:pPr>
        <w:pStyle w:val="Compact"/>
        <w:numPr>
          <w:ilvl w:val="0"/>
          <w:numId w:val="1046"/>
        </w:numPr>
      </w:pPr>
      <w:r>
        <w:t xml:space="preserve">active environment is correct</w:t>
      </w:r>
    </w:p>
    <w:p>
      <w:pPr>
        <w:pStyle w:val="Compact"/>
        <w:numPr>
          <w:ilvl w:val="0"/>
          <w:numId w:val="1046"/>
        </w:numPr>
      </w:pPr>
      <w:r>
        <w:t xml:space="preserve">broker state is understood</w:t>
      </w:r>
    </w:p>
    <w:p>
      <w:pPr>
        <w:pStyle w:val="Compact"/>
        <w:numPr>
          <w:ilvl w:val="0"/>
          <w:numId w:val="1046"/>
        </w:numPr>
      </w:pPr>
      <w:r>
        <w:t xml:space="preserve">market data state is understood</w:t>
      </w:r>
    </w:p>
    <w:p>
      <w:pPr>
        <w:pStyle w:val="Compact"/>
        <w:numPr>
          <w:ilvl w:val="0"/>
          <w:numId w:val="1046"/>
        </w:numPr>
      </w:pPr>
      <w:r>
        <w:t xml:space="preserve">workspace restored correctly</w:t>
      </w:r>
    </w:p>
    <w:p>
      <w:pPr>
        <w:pStyle w:val="Compact"/>
        <w:numPr>
          <w:ilvl w:val="0"/>
          <w:numId w:val="1046"/>
        </w:numPr>
      </w:pPr>
      <w:r>
        <w:t xml:space="preserve">required widgets are visible</w:t>
      </w:r>
    </w:p>
    <w:p>
      <w:pPr>
        <w:pStyle w:val="Compact"/>
        <w:numPr>
          <w:ilvl w:val="0"/>
          <w:numId w:val="1046"/>
        </w:numPr>
      </w:pPr>
      <w:r>
        <w:t xml:space="preserve">stale or unavailable data is identified</w:t>
      </w:r>
    </w:p>
    <w:p>
      <w:pPr>
        <w:pStyle w:val="FirstParagraph"/>
      </w:pPr>
      <w:r>
        <w:t xml:space="preserve">Before order submission verify:</w:t>
      </w:r>
    </w:p>
    <w:p>
      <w:pPr>
        <w:pStyle w:val="Compact"/>
        <w:numPr>
          <w:ilvl w:val="0"/>
          <w:numId w:val="1047"/>
        </w:numPr>
      </w:pPr>
      <w:r>
        <w:t xml:space="preserve">correct account</w:t>
      </w:r>
    </w:p>
    <w:p>
      <w:pPr>
        <w:pStyle w:val="Compact"/>
        <w:numPr>
          <w:ilvl w:val="0"/>
          <w:numId w:val="1047"/>
        </w:numPr>
      </w:pPr>
      <w:r>
        <w:t xml:space="preserve">correct environment</w:t>
      </w:r>
    </w:p>
    <w:p>
      <w:pPr>
        <w:pStyle w:val="Compact"/>
        <w:numPr>
          <w:ilvl w:val="0"/>
          <w:numId w:val="1047"/>
        </w:numPr>
      </w:pPr>
      <w:r>
        <w:t xml:space="preserve">correct instrument</w:t>
      </w:r>
    </w:p>
    <w:p>
      <w:pPr>
        <w:pStyle w:val="Compact"/>
        <w:numPr>
          <w:ilvl w:val="0"/>
          <w:numId w:val="1047"/>
        </w:numPr>
      </w:pPr>
      <w:r>
        <w:t xml:space="preserve">correct action</w:t>
      </w:r>
    </w:p>
    <w:p>
      <w:pPr>
        <w:pStyle w:val="Compact"/>
        <w:numPr>
          <w:ilvl w:val="0"/>
          <w:numId w:val="1047"/>
        </w:numPr>
      </w:pPr>
      <w:r>
        <w:t xml:space="preserve">correct quantity</w:t>
      </w:r>
    </w:p>
    <w:p>
      <w:pPr>
        <w:pStyle w:val="Compact"/>
        <w:numPr>
          <w:ilvl w:val="0"/>
          <w:numId w:val="1047"/>
        </w:numPr>
      </w:pPr>
      <w:r>
        <w:t xml:space="preserve">correct order type</w:t>
      </w:r>
    </w:p>
    <w:p>
      <w:pPr>
        <w:pStyle w:val="Compact"/>
        <w:numPr>
          <w:ilvl w:val="0"/>
          <w:numId w:val="1047"/>
        </w:numPr>
      </w:pPr>
      <w:r>
        <w:t xml:space="preserve">correct price parameters</w:t>
      </w:r>
    </w:p>
    <w:p>
      <w:pPr>
        <w:pStyle w:val="Compact"/>
        <w:numPr>
          <w:ilvl w:val="0"/>
          <w:numId w:val="1047"/>
        </w:numPr>
      </w:pPr>
      <w:r>
        <w:t xml:space="preserve">validation passed</w:t>
      </w:r>
    </w:p>
    <w:p>
      <w:pPr>
        <w:pStyle w:val="Compact"/>
        <w:numPr>
          <w:ilvl w:val="0"/>
          <w:numId w:val="1047"/>
        </w:numPr>
      </w:pPr>
      <w:r>
        <w:t xml:space="preserve">market data state acceptable</w:t>
      </w:r>
    </w:p>
    <w:p>
      <w:pPr>
        <w:pStyle w:val="Compact"/>
        <w:numPr>
          <w:ilvl w:val="0"/>
          <w:numId w:val="1047"/>
        </w:numPr>
      </w:pPr>
      <w:r>
        <w:t xml:space="preserve">broker state acceptable</w:t>
      </w:r>
    </w:p>
    <w:p>
      <w:pPr>
        <w:pStyle w:val="Compact"/>
        <w:numPr>
          <w:ilvl w:val="0"/>
          <w:numId w:val="1047"/>
        </w:numPr>
      </w:pPr>
      <w:r>
        <w:t xml:space="preserve">portfolio and risk context reviewed</w:t>
      </w:r>
    </w:p>
    <w:p>
      <w:pPr>
        <w:pStyle w:val="FirstParagraph"/>
      </w:pPr>
      <w:r>
        <w:t xml:space="preserve">After order submission verify:</w:t>
      </w:r>
    </w:p>
    <w:p>
      <w:pPr>
        <w:pStyle w:val="Compact"/>
        <w:numPr>
          <w:ilvl w:val="0"/>
          <w:numId w:val="1048"/>
        </w:numPr>
      </w:pPr>
      <w:r>
        <w:t xml:space="preserve">broker acknowledgement or rejection</w:t>
      </w:r>
    </w:p>
    <w:p>
      <w:pPr>
        <w:pStyle w:val="Compact"/>
        <w:numPr>
          <w:ilvl w:val="0"/>
          <w:numId w:val="1048"/>
        </w:numPr>
      </w:pPr>
      <w:r>
        <w:t xml:space="preserve">fill or partial fill state</w:t>
      </w:r>
    </w:p>
    <w:p>
      <w:pPr>
        <w:pStyle w:val="Compact"/>
        <w:numPr>
          <w:ilvl w:val="0"/>
          <w:numId w:val="1048"/>
        </w:numPr>
      </w:pPr>
      <w:r>
        <w:t xml:space="preserve">cancellation state where applicable</w:t>
      </w:r>
    </w:p>
    <w:p>
      <w:pPr>
        <w:pStyle w:val="Compact"/>
        <w:numPr>
          <w:ilvl w:val="0"/>
          <w:numId w:val="1048"/>
        </w:numPr>
      </w:pPr>
      <w:r>
        <w:t xml:space="preserve">position impact</w:t>
      </w:r>
    </w:p>
    <w:p>
      <w:pPr>
        <w:pStyle w:val="Compact"/>
        <w:numPr>
          <w:ilvl w:val="0"/>
          <w:numId w:val="1048"/>
        </w:numPr>
      </w:pPr>
      <w:r>
        <w:t xml:space="preserve">reconciliation state where relevant</w:t>
      </w:r>
    </w:p>
    <w:p>
      <w:r>
        <w:pict>
          <v:rect style="width:0;height:1.5pt" o:hralign="center" o:hrstd="t" o:hr="t"/>
        </w:pict>
      </w:r>
    </w:p>
    <w:bookmarkEnd w:id="55"/>
    <w:bookmarkStart w:id="56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49"/>
        </w:numPr>
      </w:pPr>
      <w:r>
        <w:t xml:space="preserve">Product_Vision.md</w:t>
      </w:r>
    </w:p>
    <w:p>
      <w:pPr>
        <w:pStyle w:val="Compact"/>
        <w:numPr>
          <w:ilvl w:val="0"/>
          <w:numId w:val="1049"/>
        </w:numPr>
      </w:pPr>
      <w:r>
        <w:t xml:space="preserve">Product_Roadmap.md</w:t>
      </w:r>
    </w:p>
    <w:p>
      <w:pPr>
        <w:pStyle w:val="Compact"/>
        <w:numPr>
          <w:ilvl w:val="0"/>
          <w:numId w:val="1049"/>
        </w:numPr>
      </w:pPr>
      <w:r>
        <w:t xml:space="preserve">Project_Overview.md</w:t>
      </w:r>
    </w:p>
    <w:p>
      <w:pPr>
        <w:pStyle w:val="Compact"/>
        <w:numPr>
          <w:ilvl w:val="0"/>
          <w:numId w:val="1049"/>
        </w:numPr>
      </w:pPr>
      <w:r>
        <w:t xml:space="preserve">UI_Guidelines.md</w:t>
      </w:r>
    </w:p>
    <w:p>
      <w:pPr>
        <w:pStyle w:val="Compact"/>
        <w:numPr>
          <w:ilvl w:val="0"/>
          <w:numId w:val="1049"/>
        </w:numPr>
      </w:pPr>
      <w:r>
        <w:t xml:space="preserve">Widget_Catalog.md</w:t>
      </w:r>
    </w:p>
    <w:p>
      <w:pPr>
        <w:pStyle w:val="Compact"/>
        <w:numPr>
          <w:ilvl w:val="0"/>
          <w:numId w:val="1049"/>
        </w:numPr>
      </w:pPr>
      <w:r>
        <w:t xml:space="preserve">Technical_Specifications.md</w:t>
      </w:r>
    </w:p>
    <w:p>
      <w:pPr>
        <w:pStyle w:val="Compact"/>
        <w:numPr>
          <w:ilvl w:val="0"/>
          <w:numId w:val="1049"/>
        </w:numPr>
      </w:pPr>
      <w:r>
        <w:t xml:space="preserve">Configuration.md</w:t>
      </w:r>
    </w:p>
    <w:p>
      <w:pPr>
        <w:pStyle w:val="Compact"/>
        <w:numPr>
          <w:ilvl w:val="0"/>
          <w:numId w:val="1049"/>
        </w:numPr>
      </w:pPr>
      <w:r>
        <w:t xml:space="preserve">Runtime.md</w:t>
      </w:r>
    </w:p>
    <w:p>
      <w:pPr>
        <w:pStyle w:val="Compact"/>
        <w:numPr>
          <w:ilvl w:val="0"/>
          <w:numId w:val="1049"/>
        </w:numPr>
      </w:pPr>
      <w:r>
        <w:t xml:space="preserve">Logging.md</w:t>
      </w:r>
    </w:p>
    <w:p>
      <w:pPr>
        <w:pStyle w:val="Compact"/>
        <w:numPr>
          <w:ilvl w:val="0"/>
          <w:numId w:val="1049"/>
        </w:numPr>
      </w:pPr>
      <w:r>
        <w:t xml:space="preserve">Monitoring.md</w:t>
      </w:r>
    </w:p>
    <w:p>
      <w:pPr>
        <w:pStyle w:val="Compact"/>
        <w:numPr>
          <w:ilvl w:val="0"/>
          <w:numId w:val="1049"/>
        </w:numPr>
      </w:pPr>
      <w:r>
        <w:t xml:space="preserve">Testing_Strategy.md</w:t>
      </w:r>
    </w:p>
    <w:p>
      <w:pPr>
        <w:pStyle w:val="Compact"/>
        <w:numPr>
          <w:ilvl w:val="0"/>
          <w:numId w:val="1049"/>
        </w:numPr>
      </w:pPr>
      <w:r>
        <w:t xml:space="preserve">AGENTS.md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2026-07-06T08:18:56Z</dcterms:created>
  <dcterms:modified xsi:type="dcterms:W3CDTF">2026-07-06T08:18:56Z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