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configuration architecture of Trading Platform Pro and its primary application, the Trading Cockpit.</w:t>
      </w:r>
    </w:p>
    <w:p>
      <w:pPr>
        <w:pStyle w:val="BodyText"/>
      </w:pPr>
      <w:r>
        <w:t xml:space="preserve">The configuration system provides a centralized, deterministic and validated mechanism for managing application settings.</w:t>
      </w:r>
    </w:p>
    <w:p>
      <w:pPr>
        <w:pStyle w:val="BodyText"/>
      </w:pPr>
      <w:r>
        <w:t xml:space="preserve">Configuration shall remain separate from business logic.</w:t>
      </w:r>
    </w:p>
    <w:p>
      <w:pPr>
        <w:pStyle w:val="BodyText"/>
      </w:pPr>
      <w:r>
        <w:t xml:space="preserve">Trading environment, broker and market data configuration are operationally critical and require explicit handling.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configuration system shall provide:</w:t>
      </w:r>
    </w:p>
    <w:p>
      <w:pPr>
        <w:pStyle w:val="Compact"/>
        <w:numPr>
          <w:ilvl w:val="0"/>
          <w:numId w:val="1001"/>
        </w:numPr>
      </w:pPr>
      <w:r>
        <w:t xml:space="preserve">centralized configuration management</w:t>
      </w:r>
    </w:p>
    <w:p>
      <w:pPr>
        <w:pStyle w:val="Compact"/>
        <w:numPr>
          <w:ilvl w:val="0"/>
          <w:numId w:val="1001"/>
        </w:numPr>
      </w:pPr>
      <w:r>
        <w:t xml:space="preserve">deterministic configuration loading</w:t>
      </w:r>
    </w:p>
    <w:p>
      <w:pPr>
        <w:pStyle w:val="Compact"/>
        <w:numPr>
          <w:ilvl w:val="0"/>
          <w:numId w:val="1001"/>
        </w:numPr>
      </w:pPr>
      <w:r>
        <w:t xml:space="preserve">explicit environment selection</w:t>
      </w:r>
    </w:p>
    <w:p>
      <w:pPr>
        <w:pStyle w:val="Compact"/>
        <w:numPr>
          <w:ilvl w:val="0"/>
          <w:numId w:val="1001"/>
        </w:numPr>
      </w:pPr>
      <w:r>
        <w:t xml:space="preserve">startup validation</w:t>
      </w:r>
    </w:p>
    <w:p>
      <w:pPr>
        <w:pStyle w:val="Compact"/>
        <w:numPr>
          <w:ilvl w:val="0"/>
          <w:numId w:val="1001"/>
        </w:numPr>
      </w:pPr>
      <w:r>
        <w:t xml:space="preserve">strong typing</w:t>
      </w:r>
    </w:p>
    <w:p>
      <w:pPr>
        <w:pStyle w:val="Compact"/>
        <w:numPr>
          <w:ilvl w:val="0"/>
          <w:numId w:val="1001"/>
        </w:numPr>
      </w:pPr>
      <w:r>
        <w:t xml:space="preserve">secure secret handling</w:t>
      </w:r>
    </w:p>
    <w:p>
      <w:pPr>
        <w:pStyle w:val="Compact"/>
        <w:numPr>
          <w:ilvl w:val="0"/>
          <w:numId w:val="1001"/>
        </w:numPr>
      </w:pPr>
      <w:r>
        <w:t xml:space="preserve">explicit PAPER and LIVE separation</w:t>
      </w:r>
    </w:p>
    <w:p>
      <w:pPr>
        <w:pStyle w:val="Compact"/>
        <w:numPr>
          <w:ilvl w:val="0"/>
          <w:numId w:val="1001"/>
        </w:numPr>
      </w:pPr>
      <w:r>
        <w:t xml:space="preserve">observable configuration state</w:t>
      </w:r>
    </w:p>
    <w:p>
      <w:pPr>
        <w:pStyle w:val="Compact"/>
        <w:numPr>
          <w:ilvl w:val="0"/>
          <w:numId w:val="1001"/>
        </w:numPr>
      </w:pPr>
      <w:r>
        <w:t xml:space="preserve">testable configuration behaviour</w:t>
      </w:r>
    </w:p>
    <w:p>
      <w:r>
        <w:pict>
          <v:rect style="width:0;height:1.5pt" o:hralign="center" o:hrstd="t" o:hr="t"/>
        </w:pict>
      </w:r>
    </w:p>
    <w:bookmarkEnd w:id="11"/>
    <w:bookmarkStart w:id="12" w:name="configuration-principles"/>
    <w:p>
      <w:pPr>
        <w:pStyle w:val="Heading1"/>
      </w:pPr>
      <w:r>
        <w:t xml:space="preserve">Configuration Principles</w:t>
      </w:r>
    </w:p>
    <w:p>
      <w:pPr>
        <w:pStyle w:val="FirstParagraph"/>
      </w:pPr>
      <w:r>
        <w:t xml:space="preserve">Configuration shall be:</w:t>
      </w:r>
    </w:p>
    <w:p>
      <w:pPr>
        <w:pStyle w:val="Compact"/>
        <w:numPr>
          <w:ilvl w:val="0"/>
          <w:numId w:val="1002"/>
        </w:numPr>
      </w:pPr>
      <w:r>
        <w:t xml:space="preserve">externalized</w:t>
      </w:r>
    </w:p>
    <w:p>
      <w:pPr>
        <w:pStyle w:val="Compact"/>
        <w:numPr>
          <w:ilvl w:val="0"/>
          <w:numId w:val="1002"/>
        </w:numPr>
      </w:pPr>
      <w:r>
        <w:t xml:space="preserve">explicit</w:t>
      </w:r>
    </w:p>
    <w:p>
      <w:pPr>
        <w:pStyle w:val="Compact"/>
        <w:numPr>
          <w:ilvl w:val="0"/>
          <w:numId w:val="1002"/>
        </w:numPr>
      </w:pPr>
      <w:r>
        <w:t xml:space="preserve">validated</w:t>
      </w:r>
    </w:p>
    <w:p>
      <w:pPr>
        <w:pStyle w:val="Compact"/>
        <w:numPr>
          <w:ilvl w:val="0"/>
          <w:numId w:val="1002"/>
        </w:numPr>
      </w:pPr>
      <w:r>
        <w:t xml:space="preserve">strongly typed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minimal</w:t>
      </w:r>
    </w:p>
    <w:p>
      <w:pPr>
        <w:pStyle w:val="Compact"/>
        <w:numPr>
          <w:ilvl w:val="0"/>
          <w:numId w:val="1002"/>
        </w:numPr>
      </w:pPr>
      <w:r>
        <w:t xml:space="preserve">documented</w:t>
      </w:r>
    </w:p>
    <w:p>
      <w:pPr>
        <w:pStyle w:val="Compact"/>
        <w:numPr>
          <w:ilvl w:val="0"/>
          <w:numId w:val="1002"/>
        </w:numPr>
      </w:pPr>
      <w:r>
        <w:t xml:space="preserve">independent from business logic</w:t>
      </w:r>
    </w:p>
    <w:p>
      <w:pPr>
        <w:pStyle w:val="FirstParagraph"/>
      </w:pPr>
      <w:r>
        <w:t xml:space="preserve">Configuration shall not contain trading decisions or domain business rules.</w:t>
      </w:r>
    </w:p>
    <w:p>
      <w:pPr>
        <w:pStyle w:val="BodyText"/>
      </w:pPr>
      <w:r>
        <w:t xml:space="preserve">Configuration shall not silently change application behaviour through undocumented defaults.</w:t>
      </w:r>
    </w:p>
    <w:p>
      <w:r>
        <w:pict>
          <v:rect style="width:0;height:1.5pt" o:hralign="center" o:hrstd="t" o:hr="t"/>
        </w:pict>
      </w:r>
    </w:p>
    <w:bookmarkEnd w:id="12"/>
    <w:bookmarkStart w:id="13" w:name="configuration-ownership"/>
    <w:p>
      <w:pPr>
        <w:pStyle w:val="Heading1"/>
      </w:pPr>
      <w:r>
        <w:t xml:space="preserve">Configuration Ownership</w:t>
      </w:r>
    </w:p>
    <w:p>
      <w:pPr>
        <w:pStyle w:val="FirstParagraph"/>
      </w:pPr>
      <w:r>
        <w:t xml:space="preserve">Configuration defines technical and operational settings.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3"/>
        </w:numPr>
      </w:pPr>
      <w:r>
        <w:t xml:space="preserve">application behaviour</w:t>
      </w:r>
    </w:p>
    <w:p>
      <w:pPr>
        <w:pStyle w:val="Compact"/>
        <w:numPr>
          <w:ilvl w:val="0"/>
          <w:numId w:val="1003"/>
        </w:numPr>
      </w:pPr>
      <w:r>
        <w:t xml:space="preserve">runtime behaviour</w:t>
      </w:r>
    </w:p>
    <w:p>
      <w:pPr>
        <w:pStyle w:val="Compact"/>
        <w:numPr>
          <w:ilvl w:val="0"/>
          <w:numId w:val="1003"/>
        </w:numPr>
      </w:pPr>
      <w:r>
        <w:t xml:space="preserve">logging</w:t>
      </w:r>
    </w:p>
    <w:p>
      <w:pPr>
        <w:pStyle w:val="Compact"/>
        <w:numPr>
          <w:ilvl w:val="0"/>
          <w:numId w:val="1003"/>
        </w:numPr>
      </w:pPr>
      <w:r>
        <w:t xml:space="preserve">persistence</w:t>
      </w:r>
    </w:p>
    <w:p>
      <w:pPr>
        <w:pStyle w:val="Compact"/>
        <w:numPr>
          <w:ilvl w:val="0"/>
          <w:numId w:val="1003"/>
        </w:numPr>
      </w:pPr>
      <w:r>
        <w:t xml:space="preserve">broker connectivity</w:t>
      </w:r>
    </w:p>
    <w:p>
      <w:pPr>
        <w:pStyle w:val="Compact"/>
        <w:numPr>
          <w:ilvl w:val="0"/>
          <w:numId w:val="1003"/>
        </w:numPr>
      </w:pPr>
      <w:r>
        <w:t xml:space="preserve">market data connectivity</w:t>
      </w:r>
    </w:p>
    <w:p>
      <w:pPr>
        <w:pStyle w:val="Compact"/>
        <w:numPr>
          <w:ilvl w:val="0"/>
          <w:numId w:val="1003"/>
        </w:numPr>
      </w:pPr>
      <w:r>
        <w:t xml:space="preserve">workspace persistence</w:t>
      </w:r>
    </w:p>
    <w:p>
      <w:pPr>
        <w:pStyle w:val="Compact"/>
        <w:numPr>
          <w:ilvl w:val="0"/>
          <w:numId w:val="1003"/>
        </w:numPr>
      </w:pPr>
      <w:r>
        <w:t xml:space="preserve">monitoring</w:t>
      </w:r>
    </w:p>
    <w:p>
      <w:pPr>
        <w:pStyle w:val="Compact"/>
        <w:numPr>
          <w:ilvl w:val="0"/>
          <w:numId w:val="1003"/>
        </w:numPr>
      </w:pPr>
      <w:r>
        <w:t xml:space="preserve">technical timeouts</w:t>
      </w:r>
    </w:p>
    <w:p>
      <w:pPr>
        <w:pStyle w:val="FirstParagraph"/>
      </w:pPr>
      <w:r>
        <w:t xml:space="preserve">Business rules belong to Domain or Application capabilities.</w:t>
      </w:r>
    </w:p>
    <w:p>
      <w:pPr>
        <w:pStyle w:val="BodyText"/>
      </w:pPr>
      <w:r>
        <w:t xml:space="preserve">Examples of values that shall not be hidden as generic technical configuration without explicit product ownership include:</w:t>
      </w:r>
    </w:p>
    <w:p>
      <w:pPr>
        <w:pStyle w:val="Compact"/>
        <w:numPr>
          <w:ilvl w:val="0"/>
          <w:numId w:val="1004"/>
        </w:numPr>
      </w:pPr>
      <w:r>
        <w:t xml:space="preserve">candidate acceptance rules</w:t>
      </w:r>
    </w:p>
    <w:p>
      <w:pPr>
        <w:pStyle w:val="Compact"/>
        <w:numPr>
          <w:ilvl w:val="0"/>
          <w:numId w:val="1004"/>
        </w:numPr>
      </w:pPr>
      <w:r>
        <w:t xml:space="preserve">trading decision rules</w:t>
      </w:r>
    </w:p>
    <w:p>
      <w:pPr>
        <w:pStyle w:val="Compact"/>
        <w:numPr>
          <w:ilvl w:val="0"/>
          <w:numId w:val="1004"/>
        </w:numPr>
      </w:pPr>
      <w:r>
        <w:t xml:space="preserve">portfolio risk limits</w:t>
      </w:r>
    </w:p>
    <w:p>
      <w:pPr>
        <w:pStyle w:val="Compact"/>
        <w:numPr>
          <w:ilvl w:val="0"/>
          <w:numId w:val="1004"/>
        </w:numPr>
      </w:pPr>
      <w:r>
        <w:t xml:space="preserve">strategy selection rules</w:t>
      </w:r>
    </w:p>
    <w:p>
      <w:pPr>
        <w:pStyle w:val="FirstParagraph"/>
      </w:pPr>
      <w:r>
        <w:t xml:space="preserve">Business-controlled parameters require explicit capability ownership.</w:t>
      </w:r>
    </w:p>
    <w:p>
      <w:r>
        <w:pict>
          <v:rect style="width:0;height:1.5pt" o:hralign="center" o:hrstd="t" o:hr="t"/>
        </w:pict>
      </w:r>
    </w:p>
    <w:bookmarkEnd w:id="13"/>
    <w:bookmarkStart w:id="14" w:name="configuration-sources"/>
    <w:p>
      <w:pPr>
        <w:pStyle w:val="Heading1"/>
      </w:pPr>
      <w:r>
        <w:t xml:space="preserve">Configuration Sources</w:t>
      </w:r>
    </w:p>
    <w:p>
      <w:pPr>
        <w:pStyle w:val="FirstParagraph"/>
      </w:pPr>
      <w:r>
        <w:t xml:space="preserve">Supported configuration sources may include:</w:t>
      </w:r>
    </w:p>
    <w:p>
      <w:pPr>
        <w:pStyle w:val="Compact"/>
        <w:numPr>
          <w:ilvl w:val="0"/>
          <w:numId w:val="1005"/>
        </w:numPr>
      </w:pPr>
      <w:r>
        <w:t xml:space="preserve">Default application configuration</w:t>
      </w:r>
    </w:p>
    <w:p>
      <w:pPr>
        <w:pStyle w:val="Compact"/>
        <w:numPr>
          <w:ilvl w:val="0"/>
          <w:numId w:val="1005"/>
        </w:numPr>
      </w:pPr>
      <w:r>
        <w:t xml:space="preserve">YAML configuration files</w:t>
      </w:r>
    </w:p>
    <w:p>
      <w:pPr>
        <w:pStyle w:val="Compact"/>
        <w:numPr>
          <w:ilvl w:val="0"/>
          <w:numId w:val="1005"/>
        </w:numPr>
      </w:pPr>
      <w:r>
        <w:t xml:space="preserve">Environment profile configuration</w:t>
      </w:r>
    </w:p>
    <w:p>
      <w:pPr>
        <w:pStyle w:val="Compact"/>
        <w:numPr>
          <w:ilvl w:val="0"/>
          <w:numId w:val="1005"/>
        </w:numPr>
      </w:pPr>
      <w:r>
        <w:t xml:space="preserve">Environment variables</w:t>
      </w:r>
    </w:p>
    <w:p>
      <w:pPr>
        <w:pStyle w:val="Compact"/>
        <w:numPr>
          <w:ilvl w:val="0"/>
          <w:numId w:val="1005"/>
        </w:numPr>
      </w:pPr>
      <w:r>
        <w:t xml:space="preserve">Command-line arguments</w:t>
      </w:r>
    </w:p>
    <w:p>
      <w:pPr>
        <w:pStyle w:val="Compact"/>
        <w:numPr>
          <w:ilvl w:val="0"/>
          <w:numId w:val="1005"/>
        </w:numPr>
      </w:pPr>
      <w:r>
        <w:t xml:space="preserve">Explicit runtime overrides where supported</w:t>
      </w:r>
    </w:p>
    <w:p>
      <w:pPr>
        <w:pStyle w:val="FirstParagraph"/>
      </w:pPr>
      <w:r>
        <w:t xml:space="preserve">Every supported source shall have a defined responsibility.</w:t>
      </w:r>
    </w:p>
    <w:p>
      <w:pPr>
        <w:pStyle w:val="BodyText"/>
      </w:pPr>
      <w:r>
        <w:t xml:space="preserve">Avoid multiple configuration sources for the same value without a defined precedence rule.</w:t>
      </w:r>
    </w:p>
    <w:p>
      <w:r>
        <w:pict>
          <v:rect style="width:0;height:1.5pt" o:hralign="center" o:hrstd="t" o:hr="t"/>
        </w:pict>
      </w:r>
    </w:p>
    <w:bookmarkEnd w:id="14"/>
    <w:bookmarkStart w:id="15" w:name="configuration-precedence"/>
    <w:p>
      <w:pPr>
        <w:pStyle w:val="Heading1"/>
      </w:pPr>
      <w:r>
        <w:t xml:space="preserve">Configuration Precedence</w:t>
      </w:r>
    </w:p>
    <w:p>
      <w:pPr>
        <w:pStyle w:val="FirstParagraph"/>
      </w:pPr>
      <w:r>
        <w:t xml:space="preserve">Configuration precedence shall be deterministic.</w:t>
      </w:r>
    </w:p>
    <w:p>
      <w:pPr>
        <w:pStyle w:val="BodyText"/>
      </w:pPr>
      <w:r>
        <w:t xml:space="preserve">Default precedence from lowest to highest:</w:t>
      </w:r>
    </w:p>
    <w:p>
      <w:pPr>
        <w:pStyle w:val="SourceCode"/>
      </w:pPr>
      <w:r>
        <w:rPr>
          <w:rStyle w:val="VerbatimChar"/>
        </w:rPr>
        <w:t xml:space="preserve">Application Defaults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Base YAML Configuration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Environment Profile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Environment Variables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Command-Line Arguments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Explicit Runtime Override</w:t>
      </w:r>
    </w:p>
    <w:p>
      <w:pPr>
        <w:pStyle w:val="FirstParagraph"/>
      </w:pPr>
      <w:r>
        <w:t xml:space="preserve">A higher-precedence source may override a lower-precedence source only where the configuration field supports overriding.</w:t>
      </w:r>
    </w:p>
    <w:p>
      <w:pPr>
        <w:pStyle w:val="BodyText"/>
      </w:pPr>
      <w:r>
        <w:t xml:space="preserve">Runtime overrides shall not be available for operationally critical values unless explicitly designed.</w:t>
      </w:r>
    </w:p>
    <w:p>
      <w:r>
        <w:pict>
          <v:rect style="width:0;height:1.5pt" o:hralign="center" o:hrstd="t" o:hr="t"/>
        </w:pict>
      </w:r>
    </w:p>
    <w:bookmarkEnd w:id="15"/>
    <w:bookmarkStart w:id="16" w:name="configuration-profiles"/>
    <w:p>
      <w:pPr>
        <w:pStyle w:val="Heading1"/>
      </w:pPr>
      <w:r>
        <w:t xml:space="preserve">Configuration Profiles</w:t>
      </w:r>
    </w:p>
    <w:p>
      <w:pPr>
        <w:pStyle w:val="FirstParagraph"/>
      </w:pPr>
      <w:r>
        <w:t xml:space="preserve">Initial configuration profiles may include:</w:t>
      </w:r>
    </w:p>
    <w:p>
      <w:pPr>
        <w:pStyle w:val="Compact"/>
        <w:numPr>
          <w:ilvl w:val="0"/>
          <w:numId w:val="1006"/>
        </w:numPr>
      </w:pPr>
      <w:r>
        <w:t xml:space="preserve">development</w:t>
      </w:r>
    </w:p>
    <w:p>
      <w:pPr>
        <w:pStyle w:val="Compact"/>
        <w:numPr>
          <w:ilvl w:val="0"/>
          <w:numId w:val="1006"/>
        </w:numPr>
      </w:pPr>
      <w:r>
        <w:t xml:space="preserve">testing</w:t>
      </w:r>
    </w:p>
    <w:p>
      <w:pPr>
        <w:pStyle w:val="Compact"/>
        <w:numPr>
          <w:ilvl w:val="0"/>
          <w:numId w:val="1006"/>
        </w:numPr>
      </w:pPr>
      <w:r>
        <w:t xml:space="preserve">paper</w:t>
      </w:r>
    </w:p>
    <w:p>
      <w:pPr>
        <w:pStyle w:val="Compact"/>
        <w:numPr>
          <w:ilvl w:val="0"/>
          <w:numId w:val="1006"/>
        </w:numPr>
      </w:pPr>
      <w:r>
        <w:t xml:space="preserve">live</w:t>
      </w:r>
    </w:p>
    <w:p>
      <w:pPr>
        <w:pStyle w:val="FirstParagraph"/>
      </w:pPr>
      <w:r>
        <w:t xml:space="preserve">Profile names shall use lowercase identifiers.</w:t>
      </w:r>
    </w:p>
    <w:p>
      <w:pPr>
        <w:pStyle w:val="BodyText"/>
      </w:pPr>
      <w:r>
        <w:t xml:space="preserve">The active profile shall be explicit.</w:t>
      </w:r>
    </w:p>
    <w:p>
      <w:pPr>
        <w:pStyle w:val="BodyText"/>
      </w:pPr>
      <w:r>
        <w:t xml:space="preserve">The application shall not infer LIVE mode from broker connectivity alone.</w:t>
      </w:r>
    </w:p>
    <w:p>
      <w:r>
        <w:pict>
          <v:rect style="width:0;height:1.5pt" o:hralign="center" o:hrstd="t" o:hr="t"/>
        </w:pict>
      </w:r>
    </w:p>
    <w:bookmarkEnd w:id="16"/>
    <w:bookmarkStart w:id="17" w:name="development-profile"/>
    <w:p>
      <w:pPr>
        <w:pStyle w:val="Heading1"/>
      </w:pPr>
      <w:r>
        <w:t xml:space="preserve">Development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profile supports local application development.</w:t>
      </w:r>
    </w:p>
    <w:p>
      <w:pPr>
        <w:pStyle w:val="BodyText"/>
      </w:pPr>
      <w:r>
        <w:t xml:space="preserve">Typical characteristics may include:</w:t>
      </w:r>
    </w:p>
    <w:p>
      <w:pPr>
        <w:pStyle w:val="Compact"/>
        <w:numPr>
          <w:ilvl w:val="0"/>
          <w:numId w:val="1007"/>
        </w:numPr>
      </w:pPr>
      <w:r>
        <w:t xml:space="preserve">development logging</w:t>
      </w:r>
    </w:p>
    <w:p>
      <w:pPr>
        <w:pStyle w:val="Compact"/>
        <w:numPr>
          <w:ilvl w:val="0"/>
          <w:numId w:val="1007"/>
        </w:numPr>
      </w:pPr>
      <w:r>
        <w:t xml:space="preserve">local persistence</w:t>
      </w:r>
    </w:p>
    <w:p>
      <w:pPr>
        <w:pStyle w:val="Compact"/>
        <w:numPr>
          <w:ilvl w:val="0"/>
          <w:numId w:val="1007"/>
        </w:numPr>
      </w:pPr>
      <w:r>
        <w:t xml:space="preserve">development integrations</w:t>
      </w:r>
    </w:p>
    <w:p>
      <w:pPr>
        <w:pStyle w:val="Compact"/>
        <w:numPr>
          <w:ilvl w:val="0"/>
          <w:numId w:val="1007"/>
        </w:numPr>
      </w:pPr>
      <w:r>
        <w:t xml:space="preserve">diagnostic capabilities</w:t>
      </w:r>
    </w:p>
    <w:p>
      <w:pPr>
        <w:pStyle w:val="FirstParagraph"/>
      </w:pPr>
      <w:r>
        <w:t xml:space="preserve">Development configuration shall not imply LIVE trading capability.</w:t>
      </w:r>
    </w:p>
    <w:p>
      <w:r>
        <w:pict>
          <v:rect style="width:0;height:1.5pt" o:hralign="center" o:hrstd="t" o:hr="t"/>
        </w:pict>
      </w:r>
    </w:p>
    <w:bookmarkEnd w:id="17"/>
    <w:bookmarkStart w:id="18" w:name="testing-profile"/>
    <w:p>
      <w:pPr>
        <w:pStyle w:val="Heading1"/>
      </w:pPr>
      <w:r>
        <w:t xml:space="preserve">Testing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profile supports automated tests.</w:t>
      </w:r>
    </w:p>
    <w:p>
      <w:pPr>
        <w:pStyle w:val="BodyText"/>
      </w:pPr>
      <w:r>
        <w:t xml:space="preserve">Typical characteristics may include:</w:t>
      </w:r>
    </w:p>
    <w:p>
      <w:pPr>
        <w:pStyle w:val="Compact"/>
        <w:numPr>
          <w:ilvl w:val="0"/>
          <w:numId w:val="1008"/>
        </w:numPr>
      </w:pPr>
      <w:r>
        <w:t xml:space="preserve">deterministic configuration</w:t>
      </w:r>
    </w:p>
    <w:p>
      <w:pPr>
        <w:pStyle w:val="Compact"/>
        <w:numPr>
          <w:ilvl w:val="0"/>
          <w:numId w:val="1008"/>
        </w:numPr>
      </w:pPr>
      <w:r>
        <w:t xml:space="preserve">temporary persistence</w:t>
      </w:r>
    </w:p>
    <w:p>
      <w:pPr>
        <w:pStyle w:val="Compact"/>
        <w:numPr>
          <w:ilvl w:val="0"/>
          <w:numId w:val="1008"/>
        </w:numPr>
      </w:pPr>
      <w:r>
        <w:t xml:space="preserve">fake adapters</w:t>
      </w:r>
    </w:p>
    <w:p>
      <w:pPr>
        <w:pStyle w:val="Compact"/>
        <w:numPr>
          <w:ilvl w:val="0"/>
          <w:numId w:val="1008"/>
        </w:numPr>
      </w:pPr>
      <w:r>
        <w:t xml:space="preserve">controlled clocks</w:t>
      </w:r>
    </w:p>
    <w:p>
      <w:pPr>
        <w:pStyle w:val="Compact"/>
        <w:numPr>
          <w:ilvl w:val="0"/>
          <w:numId w:val="1008"/>
        </w:numPr>
      </w:pPr>
      <w:r>
        <w:t xml:space="preserve">simulated broker responses</w:t>
      </w:r>
    </w:p>
    <w:p>
      <w:pPr>
        <w:pStyle w:val="Compact"/>
        <w:numPr>
          <w:ilvl w:val="0"/>
          <w:numId w:val="1008"/>
        </w:numPr>
      </w:pPr>
      <w:r>
        <w:t xml:space="preserve">simulated market data</w:t>
      </w:r>
    </w:p>
    <w:p>
      <w:pPr>
        <w:pStyle w:val="FirstParagraph"/>
      </w:pPr>
      <w:r>
        <w:t xml:space="preserve">Tests shall not require LIVE broker connectivity.</w:t>
      </w:r>
    </w:p>
    <w:p>
      <w:r>
        <w:pict>
          <v:rect style="width:0;height:1.5pt" o:hralign="center" o:hrstd="t" o:hr="t"/>
        </w:pict>
      </w:r>
    </w:p>
    <w:bookmarkEnd w:id="18"/>
    <w:bookmarkStart w:id="19" w:name="paper-profile"/>
    <w:p>
      <w:pPr>
        <w:pStyle w:val="Heading1"/>
      </w:pPr>
      <w:r>
        <w:t xml:space="preserve">PAPER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t xml:space="preserve">profile supports broker paper-trading workflows.</w:t>
      </w:r>
    </w:p>
    <w:p>
      <w:pPr>
        <w:pStyle w:val="BodyText"/>
      </w:pPr>
      <w:r>
        <w:t xml:space="preserve">PAPER configuration shall remain explicitly distinguishable from LIVE configuration.</w:t>
      </w:r>
    </w:p>
    <w:p>
      <w:pPr>
        <w:pStyle w:val="BodyText"/>
      </w:pPr>
      <w:r>
        <w:t xml:space="preserve">Typical PAPER settings may include:</w:t>
      </w:r>
    </w:p>
    <w:p>
      <w:pPr>
        <w:pStyle w:val="Compact"/>
        <w:numPr>
          <w:ilvl w:val="0"/>
          <w:numId w:val="1009"/>
        </w:numPr>
      </w:pPr>
      <w:r>
        <w:t xml:space="preserve">PAPER broker endpoint</w:t>
      </w:r>
    </w:p>
    <w:p>
      <w:pPr>
        <w:pStyle w:val="Compact"/>
        <w:numPr>
          <w:ilvl w:val="0"/>
          <w:numId w:val="1009"/>
        </w:numPr>
      </w:pPr>
      <w:r>
        <w:t xml:space="preserve">PAPER account context</w:t>
      </w:r>
    </w:p>
    <w:p>
      <w:pPr>
        <w:pStyle w:val="Compact"/>
        <w:numPr>
          <w:ilvl w:val="0"/>
          <w:numId w:val="1009"/>
        </w:numPr>
      </w:pPr>
      <w:r>
        <w:t xml:space="preserve">PAPER-specific connection parameters</w:t>
      </w:r>
    </w:p>
    <w:p>
      <w:pPr>
        <w:pStyle w:val="Compact"/>
        <w:numPr>
          <w:ilvl w:val="0"/>
          <w:numId w:val="1009"/>
        </w:numPr>
      </w:pPr>
      <w:r>
        <w:t xml:space="preserve">PAPER operational indicators</w:t>
      </w:r>
    </w:p>
    <w:p>
      <w:pPr>
        <w:pStyle w:val="FirstParagraph"/>
      </w:pPr>
      <w:r>
        <w:t xml:space="preserve">The Trading Cockpit shall visibly expose PAPER execution context where trading functionality is available.</w:t>
      </w:r>
    </w:p>
    <w:p>
      <w:r>
        <w:pict>
          <v:rect style="width:0;height:1.5pt" o:hralign="center" o:hrstd="t" o:hr="t"/>
        </w:pict>
      </w:r>
    </w:p>
    <w:bookmarkEnd w:id="19"/>
    <w:bookmarkStart w:id="20" w:name="live-profile"/>
    <w:p>
      <w:pPr>
        <w:pStyle w:val="Heading1"/>
      </w:pPr>
      <w:r>
        <w:t xml:space="preserve">LIVE Profile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profile supports LIVE trading workflows.</w:t>
      </w:r>
    </w:p>
    <w:p>
      <w:pPr>
        <w:pStyle w:val="BodyText"/>
      </w:pPr>
      <w:r>
        <w:t xml:space="preserve">LIVE configuration is operationally critical.</w:t>
      </w:r>
    </w:p>
    <w:p>
      <w:pPr>
        <w:pStyle w:val="BodyText"/>
      </w:pPr>
      <w:r>
        <w:t xml:space="preserve">LIVE mode shall:</w:t>
      </w:r>
    </w:p>
    <w:p>
      <w:pPr>
        <w:pStyle w:val="Compact"/>
        <w:numPr>
          <w:ilvl w:val="0"/>
          <w:numId w:val="1010"/>
        </w:numPr>
      </w:pPr>
      <w:r>
        <w:t xml:space="preserve">require explicit profile selection</w:t>
      </w:r>
    </w:p>
    <w:p>
      <w:pPr>
        <w:pStyle w:val="Compact"/>
        <w:numPr>
          <w:ilvl w:val="0"/>
          <w:numId w:val="1010"/>
        </w:numPr>
      </w:pPr>
      <w:r>
        <w:t xml:space="preserve">use explicit LIVE broker configuration</w:t>
      </w:r>
    </w:p>
    <w:p>
      <w:pPr>
        <w:pStyle w:val="Compact"/>
        <w:numPr>
          <w:ilvl w:val="0"/>
          <w:numId w:val="1010"/>
        </w:numPr>
      </w:pPr>
      <w:r>
        <w:t xml:space="preserve">remain distinguishable from PAPER</w:t>
      </w:r>
    </w:p>
    <w:p>
      <w:pPr>
        <w:pStyle w:val="Compact"/>
        <w:numPr>
          <w:ilvl w:val="0"/>
          <w:numId w:val="1010"/>
        </w:numPr>
      </w:pPr>
      <w:r>
        <w:t xml:space="preserve">be visible in the Trading Cockpit</w:t>
      </w:r>
    </w:p>
    <w:p>
      <w:pPr>
        <w:pStyle w:val="Compact"/>
        <w:numPr>
          <w:ilvl w:val="0"/>
          <w:numId w:val="1010"/>
        </w:numPr>
      </w:pPr>
      <w:r>
        <w:t xml:space="preserve">fail startup validation when critical LIVE configuration is invalid</w:t>
      </w:r>
    </w:p>
    <w:p>
      <w:pPr>
        <w:pStyle w:val="FirstParagraph"/>
      </w:pPr>
      <w:r>
        <w:t xml:space="preserve">LIVE trading shall never be activated through an implicit fallback.</w:t>
      </w:r>
    </w:p>
    <w:p>
      <w:pPr>
        <w:pStyle w:val="BodyText"/>
      </w:pPr>
      <w:r>
        <w:t xml:space="preserve">The application shall not automatically switch from PAPER to LIVE.</w:t>
      </w:r>
    </w:p>
    <w:p>
      <w:r>
        <w:pict>
          <v:rect style="width:0;height:1.5pt" o:hralign="center" o:hrstd="t" o:hr="t"/>
        </w:pict>
      </w:r>
    </w:p>
    <w:bookmarkEnd w:id="20"/>
    <w:bookmarkStart w:id="21" w:name="paper-and-live-separation"/>
    <w:p>
      <w:pPr>
        <w:pStyle w:val="Heading1"/>
      </w:pPr>
      <w:r>
        <w:t xml:space="preserve">PAPER and LIVE Separation</w:t>
      </w:r>
    </w:p>
    <w:p>
      <w:pPr>
        <w:pStyle w:val="FirstParagraph"/>
      </w:pPr>
      <w:r>
        <w:t xml:space="preserve">PAPER and LIVE configuration shall remain explicitly separated.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config/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base.yaml</w:t>
      </w:r>
      <w:r>
        <w:br/>
      </w:r>
      <w:r>
        <w:rPr>
          <w:rStyle w:val="VerbatimChar"/>
        </w:rPr>
        <w:t xml:space="preserve">├── development/</w:t>
      </w:r>
      <w:r>
        <w:br/>
      </w:r>
      <w:r>
        <w:rPr>
          <w:rStyle w:val="VerbatimChar"/>
        </w:rPr>
        <w:t xml:space="preserve">├── testing/</w:t>
      </w:r>
      <w:r>
        <w:br/>
      </w:r>
      <w:r>
        <w:rPr>
          <w:rStyle w:val="VerbatimChar"/>
        </w:rPr>
        <w:t xml:space="preserve">├── paper/</w:t>
      </w:r>
      <w:r>
        <w:br/>
      </w:r>
      <w:r>
        <w:rPr>
          <w:rStyle w:val="VerbatimChar"/>
        </w:rPr>
        <w:t xml:space="preserve">└── live/</w:t>
      </w:r>
    </w:p>
    <w:p>
      <w:pPr>
        <w:pStyle w:val="FirstParagraph"/>
      </w:pPr>
      <w:r>
        <w:t xml:space="preserve">The exact physical configuration structure may evolve with implementation requirements.</w:t>
      </w:r>
    </w:p>
    <w:p>
      <w:pPr>
        <w:pStyle w:val="BodyText"/>
      </w:pPr>
      <w:r>
        <w:t xml:space="preserve">PAPER and LIVE shall not share operationally critical broker settings through ambiguous configuration.</w:t>
      </w:r>
    </w:p>
    <w:p>
      <w:pPr>
        <w:pStyle w:val="BodyText"/>
      </w:pPr>
      <w:r>
        <w:t xml:space="preserve">Shared technical defaults may remain in base configuration.</w:t>
      </w:r>
    </w:p>
    <w:p>
      <w:r>
        <w:pict>
          <v:rect style="width:0;height:1.5pt" o:hralign="center" o:hrstd="t" o:hr="t"/>
        </w:pict>
      </w:r>
    </w:p>
    <w:bookmarkEnd w:id="21"/>
    <w:bookmarkStart w:id="22" w:name="active-trading-environment"/>
    <w:p>
      <w:pPr>
        <w:pStyle w:val="Heading1"/>
      </w:pPr>
      <w:r>
        <w:t xml:space="preserve">Active Trading Environment</w:t>
      </w:r>
    </w:p>
    <w:p>
      <w:pPr>
        <w:pStyle w:val="FirstParagraph"/>
      </w:pPr>
      <w:r>
        <w:t xml:space="preserve">The active trading environment shall use an explicit typed value.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class TradingEnvironment(Enum):</w:t>
      </w:r>
      <w:r>
        <w:br/>
      </w:r>
      <w:r>
        <w:rPr>
          <w:rStyle w:val="VerbatimChar"/>
        </w:rPr>
        <w:t xml:space="preserve">    PAPER = "paper"</w:t>
      </w:r>
      <w:r>
        <w:br/>
      </w:r>
      <w:r>
        <w:rPr>
          <w:rStyle w:val="VerbatimChar"/>
        </w:rPr>
        <w:t xml:space="preserve">    LIVE = "live"</w:t>
      </w:r>
    </w:p>
    <w:p>
      <w:pPr>
        <w:pStyle w:val="FirstParagraph"/>
      </w:pPr>
      <w:r>
        <w:t xml:space="preserve">Avoid loosely defined values such as:</w:t>
      </w:r>
    </w:p>
    <w:p>
      <w:pPr>
        <w:pStyle w:val="SourceCode"/>
      </w:pPr>
      <w:r>
        <w:rPr>
          <w:rStyle w:val="VerbatimChar"/>
        </w:rPr>
        <w:t xml:space="preserve">"prod"</w:t>
      </w:r>
      <w:r>
        <w:br/>
      </w:r>
      <w:r>
        <w:rPr>
          <w:rStyle w:val="VerbatimChar"/>
        </w:rPr>
        <w:t xml:space="preserve">"real"</w:t>
      </w:r>
      <w:r>
        <w:br/>
      </w:r>
      <w:r>
        <w:rPr>
          <w:rStyle w:val="VerbatimChar"/>
        </w:rPr>
        <w:t xml:space="preserve">"active"</w:t>
      </w:r>
    </w:p>
    <w:p>
      <w:pPr>
        <w:pStyle w:val="FirstParagraph"/>
      </w:pPr>
      <w:r>
        <w:t xml:space="preserve">Application workflows shall be able to determine the active trading environment explicitly.</w:t>
      </w:r>
    </w:p>
    <w:p>
      <w:r>
        <w:pict>
          <v:rect style="width:0;height:1.5pt" o:hralign="center" o:hrstd="t" o:hr="t"/>
        </w:pict>
      </w:r>
    </w:p>
    <w:bookmarkEnd w:id="22"/>
    <w:bookmarkStart w:id="23" w:name="configuration-loading"/>
    <w:p>
      <w:pPr>
        <w:pStyle w:val="Heading1"/>
      </w:pPr>
      <w:r>
        <w:t xml:space="preserve">Configuration Loading</w:t>
      </w:r>
    </w:p>
    <w:p>
      <w:pPr>
        <w:pStyle w:val="FirstParagraph"/>
      </w:pPr>
      <w:r>
        <w:t xml:space="preserve">The startup configuration sequence shall:</w:t>
      </w:r>
    </w:p>
    <w:p>
      <w:pPr>
        <w:pStyle w:val="Compact"/>
        <w:numPr>
          <w:ilvl w:val="0"/>
          <w:numId w:val="1011"/>
        </w:numPr>
      </w:pPr>
      <w:r>
        <w:t xml:space="preserve">Determine the requested profile.</w:t>
      </w:r>
    </w:p>
    <w:p>
      <w:pPr>
        <w:pStyle w:val="Compact"/>
        <w:numPr>
          <w:ilvl w:val="0"/>
          <w:numId w:val="1011"/>
        </w:numPr>
      </w:pPr>
      <w:r>
        <w:t xml:space="preserve">Load application defaults.</w:t>
      </w:r>
    </w:p>
    <w:p>
      <w:pPr>
        <w:pStyle w:val="Compact"/>
        <w:numPr>
          <w:ilvl w:val="0"/>
          <w:numId w:val="1011"/>
        </w:numPr>
      </w:pPr>
      <w:r>
        <w:t xml:space="preserve">Load base configuration.</w:t>
      </w:r>
    </w:p>
    <w:p>
      <w:pPr>
        <w:pStyle w:val="Compact"/>
        <w:numPr>
          <w:ilvl w:val="0"/>
          <w:numId w:val="1011"/>
        </w:numPr>
      </w:pPr>
      <w:r>
        <w:t xml:space="preserve">Load profile configuration.</w:t>
      </w:r>
    </w:p>
    <w:p>
      <w:pPr>
        <w:pStyle w:val="Compact"/>
        <w:numPr>
          <w:ilvl w:val="0"/>
          <w:numId w:val="1011"/>
        </w:numPr>
      </w:pPr>
      <w:r>
        <w:t xml:space="preserve">Apply supported environment variables.</w:t>
      </w:r>
    </w:p>
    <w:p>
      <w:pPr>
        <w:pStyle w:val="Compact"/>
        <w:numPr>
          <w:ilvl w:val="0"/>
          <w:numId w:val="1011"/>
        </w:numPr>
      </w:pPr>
      <w:r>
        <w:t xml:space="preserve">Apply supported command-line arguments.</w:t>
      </w:r>
    </w:p>
    <w:p>
      <w:pPr>
        <w:pStyle w:val="Compact"/>
        <w:numPr>
          <w:ilvl w:val="0"/>
          <w:numId w:val="1011"/>
        </w:numPr>
      </w:pPr>
      <w:r>
        <w:t xml:space="preserve">Apply explicit runtime overrides where supported.</w:t>
      </w:r>
    </w:p>
    <w:p>
      <w:pPr>
        <w:pStyle w:val="Compact"/>
        <w:numPr>
          <w:ilvl w:val="0"/>
          <w:numId w:val="1011"/>
        </w:numPr>
      </w:pPr>
      <w:r>
        <w:t xml:space="preserve">Build the typed configuration model.</w:t>
      </w:r>
    </w:p>
    <w:p>
      <w:pPr>
        <w:pStyle w:val="Compact"/>
        <w:numPr>
          <w:ilvl w:val="0"/>
          <w:numId w:val="1011"/>
        </w:numPr>
      </w:pPr>
      <w:r>
        <w:t xml:space="preserve">Validate the final configuration.</w:t>
      </w:r>
    </w:p>
    <w:p>
      <w:pPr>
        <w:pStyle w:val="Compact"/>
        <w:numPr>
          <w:ilvl w:val="0"/>
          <w:numId w:val="1011"/>
        </w:numPr>
      </w:pPr>
      <w:r>
        <w:t xml:space="preserve">Register configuration in the dependency container.</w:t>
      </w:r>
    </w:p>
    <w:p>
      <w:pPr>
        <w:pStyle w:val="FirstParagraph"/>
      </w:pPr>
      <w:r>
        <w:t xml:space="preserve">Application workflows shall not start before configuration validation succeeds.</w:t>
      </w:r>
    </w:p>
    <w:p>
      <w:r>
        <w:pict>
          <v:rect style="width:0;height:1.5pt" o:hralign="center" o:hrstd="t" o:hr="t"/>
        </w:pict>
      </w:r>
    </w:p>
    <w:bookmarkEnd w:id="23"/>
    <w:bookmarkStart w:id="24" w:name="fail-fast-validation"/>
    <w:p>
      <w:pPr>
        <w:pStyle w:val="Heading1"/>
      </w:pPr>
      <w:r>
        <w:t xml:space="preserve">Fail-Fast Validation</w:t>
      </w:r>
    </w:p>
    <w:p>
      <w:pPr>
        <w:pStyle w:val="FirstParagraph"/>
      </w:pPr>
      <w:r>
        <w:t xml:space="preserve">Invalid critical configuration shall fail startup.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unknown profile</w:t>
      </w:r>
    </w:p>
    <w:p>
      <w:pPr>
        <w:pStyle w:val="Compact"/>
        <w:numPr>
          <w:ilvl w:val="0"/>
          <w:numId w:val="1012"/>
        </w:numPr>
      </w:pPr>
      <w:r>
        <w:t xml:space="preserve">invalid trading environment</w:t>
      </w:r>
    </w:p>
    <w:p>
      <w:pPr>
        <w:pStyle w:val="Compact"/>
        <w:numPr>
          <w:ilvl w:val="0"/>
          <w:numId w:val="1012"/>
        </w:numPr>
      </w:pPr>
      <w:r>
        <w:t xml:space="preserve">missing required broker configuration</w:t>
      </w:r>
    </w:p>
    <w:p>
      <w:pPr>
        <w:pStyle w:val="Compact"/>
        <w:numPr>
          <w:ilvl w:val="0"/>
          <w:numId w:val="1012"/>
        </w:numPr>
      </w:pPr>
      <w:r>
        <w:t xml:space="preserve">invalid database path</w:t>
      </w:r>
    </w:p>
    <w:p>
      <w:pPr>
        <w:pStyle w:val="Compact"/>
        <w:numPr>
          <w:ilvl w:val="0"/>
          <w:numId w:val="1012"/>
        </w:numPr>
      </w:pPr>
      <w:r>
        <w:t xml:space="preserve">invalid numeric range</w:t>
      </w:r>
    </w:p>
    <w:p>
      <w:pPr>
        <w:pStyle w:val="Compact"/>
        <w:numPr>
          <w:ilvl w:val="0"/>
          <w:numId w:val="1012"/>
        </w:numPr>
      </w:pPr>
      <w:r>
        <w:t xml:space="preserve">invalid timeout</w:t>
      </w:r>
    </w:p>
    <w:p>
      <w:pPr>
        <w:pStyle w:val="Compact"/>
        <w:numPr>
          <w:ilvl w:val="0"/>
          <w:numId w:val="1012"/>
        </w:numPr>
      </w:pPr>
      <w:r>
        <w:t xml:space="preserve">incompatible configuration values</w:t>
      </w:r>
    </w:p>
    <w:p>
      <w:pPr>
        <w:pStyle w:val="FirstParagraph"/>
      </w:pPr>
      <w:r>
        <w:t xml:space="preserve">The application shall report the affected configuration capability.</w:t>
      </w:r>
    </w:p>
    <w:p>
      <w:pPr>
        <w:pStyle w:val="BodyText"/>
      </w:pPr>
      <w:r>
        <w:t xml:space="preserve">Secrets shall not be included in validation error output.</w:t>
      </w:r>
    </w:p>
    <w:p>
      <w:r>
        <w:pict>
          <v:rect style="width:0;height:1.5pt" o:hralign="center" o:hrstd="t" o:hr="t"/>
        </w:pict>
      </w:r>
    </w:p>
    <w:bookmarkEnd w:id="24"/>
    <w:bookmarkStart w:id="25" w:name="strong-typing"/>
    <w:p>
      <w:pPr>
        <w:pStyle w:val="Heading1"/>
      </w:pPr>
      <w:r>
        <w:t xml:space="preserve">Strong Typing</w:t>
      </w:r>
    </w:p>
    <w:p>
      <w:pPr>
        <w:pStyle w:val="FirstParagraph"/>
      </w:pPr>
      <w:r>
        <w:t xml:space="preserve">Application components shall consume typed configuration models.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@dataclass(frozen=True)</w:t>
      </w:r>
      <w:r>
        <w:br/>
      </w:r>
      <w:r>
        <w:rPr>
          <w:rStyle w:val="VerbatimChar"/>
        </w:rPr>
        <w:t xml:space="preserve">class BrokerConfiguration:</w:t>
      </w:r>
      <w:r>
        <w:br/>
      </w:r>
      <w:r>
        <w:rPr>
          <w:rStyle w:val="VerbatimChar"/>
        </w:rPr>
        <w:t xml:space="preserve">    host: str</w:t>
      </w:r>
      <w:r>
        <w:br/>
      </w:r>
      <w:r>
        <w:rPr>
          <w:rStyle w:val="VerbatimChar"/>
        </w:rPr>
        <w:t xml:space="preserve">    port: int</w:t>
      </w:r>
      <w:r>
        <w:br/>
      </w:r>
      <w:r>
        <w:rPr>
          <w:rStyle w:val="VerbatimChar"/>
        </w:rPr>
        <w:t xml:space="preserve">    client_id: int</w:t>
      </w:r>
      <w:r>
        <w:br/>
      </w:r>
      <w:r>
        <w:rPr>
          <w:rStyle w:val="VerbatimChar"/>
        </w:rPr>
        <w:t xml:space="preserve">    environment: TradingEnvironment</w:t>
      </w:r>
    </w:p>
    <w:p>
      <w:pPr>
        <w:pStyle w:val="FirstParagraph"/>
      </w:pPr>
      <w:r>
        <w:t xml:space="preserve">Avoid passing generic configuration dictionaries through the application.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config["broker"]["port"]</w:t>
      </w:r>
    </w:p>
    <w:p>
      <w:pPr>
        <w:pStyle w:val="FirstParagraph"/>
      </w:pPr>
      <w:r>
        <w:t xml:space="preserve">inside Domain or Application business logic.</w:t>
      </w:r>
    </w:p>
    <w:p>
      <w:pPr>
        <w:pStyle w:val="BodyText"/>
      </w:pPr>
      <w:r>
        <w:t xml:space="preserve">Typed configuration shall be created at the configuration boundary.</w:t>
      </w:r>
    </w:p>
    <w:p>
      <w:r>
        <w:pict>
          <v:rect style="width:0;height:1.5pt" o:hralign="center" o:hrstd="t" o:hr="t"/>
        </w:pict>
      </w:r>
    </w:p>
    <w:bookmarkEnd w:id="25"/>
    <w:bookmarkStart w:id="26" w:name="configuration-immutability"/>
    <w:p>
      <w:pPr>
        <w:pStyle w:val="Heading1"/>
      </w:pPr>
      <w:r>
        <w:t xml:space="preserve">Configuration Immutability</w:t>
      </w:r>
    </w:p>
    <w:p>
      <w:pPr>
        <w:pStyle w:val="FirstParagraph"/>
      </w:pPr>
      <w:r>
        <w:t xml:space="preserve">Validated startup configuration should be immutable where practical.</w:t>
      </w:r>
    </w:p>
    <w:p>
      <w:pPr>
        <w:pStyle w:val="BodyText"/>
      </w:pPr>
      <w:r>
        <w:t xml:space="preserve">Application components shall not mutate shared configuration objects.</w:t>
      </w:r>
    </w:p>
    <w:p>
      <w:pPr>
        <w:pStyle w:val="BodyText"/>
      </w:pPr>
      <w:r>
        <w:t xml:space="preserve">Runtime-changeable settings require explicit ownership and lifecycle rules.</w:t>
      </w:r>
    </w:p>
    <w:p>
      <w:pPr>
        <w:pStyle w:val="BodyText"/>
      </w:pPr>
      <w:r>
        <w:t xml:space="preserve">A mutable application preference is not automatically startup configuration.</w:t>
      </w:r>
    </w:p>
    <w:p>
      <w:r>
        <w:pict>
          <v:rect style="width:0;height:1.5pt" o:hralign="center" o:hrstd="t" o:hr="t"/>
        </w:pict>
      </w:r>
    </w:p>
    <w:bookmarkEnd w:id="26"/>
    <w:bookmarkStart w:id="27" w:name="configuration-structure"/>
    <w:p>
      <w:pPr>
        <w:pStyle w:val="Heading1"/>
      </w:pPr>
      <w:r>
        <w:t xml:space="preserve">Configuration Structure</w:t>
      </w:r>
    </w:p>
    <w:p>
      <w:pPr>
        <w:pStyle w:val="FirstParagraph"/>
      </w:pPr>
      <w:r>
        <w:t xml:space="preserve">Configuration shall be organized by responsibility.</w:t>
      </w:r>
    </w:p>
    <w:p>
      <w:pPr>
        <w:pStyle w:val="BodyText"/>
      </w:pPr>
      <w:r>
        <w:t xml:space="preserve">Initial sections may include:</w:t>
      </w:r>
    </w:p>
    <w:p>
      <w:pPr>
        <w:pStyle w:val="Compact"/>
        <w:numPr>
          <w:ilvl w:val="0"/>
          <w:numId w:val="1013"/>
        </w:numPr>
      </w:pPr>
      <w:r>
        <w:t xml:space="preserve">Application</w:t>
      </w:r>
    </w:p>
    <w:p>
      <w:pPr>
        <w:pStyle w:val="Compact"/>
        <w:numPr>
          <w:ilvl w:val="0"/>
          <w:numId w:val="1013"/>
        </w:numPr>
      </w:pPr>
      <w:r>
        <w:t xml:space="preserve">Runtime</w:t>
      </w:r>
    </w:p>
    <w:p>
      <w:pPr>
        <w:pStyle w:val="Compact"/>
        <w:numPr>
          <w:ilvl w:val="0"/>
          <w:numId w:val="1013"/>
        </w:numPr>
      </w:pPr>
      <w:r>
        <w:t xml:space="preserve">Logging</w:t>
      </w:r>
    </w:p>
    <w:p>
      <w:pPr>
        <w:pStyle w:val="Compact"/>
        <w:numPr>
          <w:ilvl w:val="0"/>
          <w:numId w:val="1013"/>
        </w:numPr>
      </w:pPr>
      <w:r>
        <w:t xml:space="preserve">Database</w:t>
      </w:r>
    </w:p>
    <w:p>
      <w:pPr>
        <w:pStyle w:val="Compact"/>
        <w:numPr>
          <w:ilvl w:val="0"/>
          <w:numId w:val="1013"/>
        </w:numPr>
      </w:pPr>
      <w:r>
        <w:t xml:space="preserve">Broker</w:t>
      </w:r>
    </w:p>
    <w:p>
      <w:pPr>
        <w:pStyle w:val="Compact"/>
        <w:numPr>
          <w:ilvl w:val="0"/>
          <w:numId w:val="1013"/>
        </w:numPr>
      </w:pPr>
      <w:r>
        <w:t xml:space="preserve">Market Data</w:t>
      </w:r>
    </w:p>
    <w:p>
      <w:pPr>
        <w:pStyle w:val="Compact"/>
        <w:numPr>
          <w:ilvl w:val="0"/>
          <w:numId w:val="1013"/>
        </w:numPr>
      </w:pPr>
      <w:r>
        <w:t xml:space="preserve">Workspace</w:t>
      </w:r>
    </w:p>
    <w:p>
      <w:pPr>
        <w:pStyle w:val="Compact"/>
        <w:numPr>
          <w:ilvl w:val="0"/>
          <w:numId w:val="1013"/>
        </w:numPr>
      </w:pPr>
      <w:r>
        <w:t xml:space="preserve">Messaging</w:t>
      </w:r>
    </w:p>
    <w:p>
      <w:pPr>
        <w:pStyle w:val="Compact"/>
        <w:numPr>
          <w:ilvl w:val="0"/>
          <w:numId w:val="1013"/>
        </w:numPr>
      </w:pPr>
      <w:r>
        <w:t xml:space="preserve">Scheduler</w:t>
      </w:r>
    </w:p>
    <w:p>
      <w:pPr>
        <w:pStyle w:val="Compact"/>
        <w:numPr>
          <w:ilvl w:val="0"/>
          <w:numId w:val="1013"/>
        </w:numPr>
      </w:pPr>
      <w:r>
        <w:t xml:space="preserve">Monitoring</w:t>
      </w:r>
    </w:p>
    <w:p>
      <w:pPr>
        <w:pStyle w:val="Compact"/>
        <w:numPr>
          <w:ilvl w:val="0"/>
          <w:numId w:val="1013"/>
        </w:numPr>
      </w:pPr>
      <w:r>
        <w:t xml:space="preserve">Health</w:t>
      </w:r>
    </w:p>
    <w:p>
      <w:pPr>
        <w:pStyle w:val="Compact"/>
        <w:numPr>
          <w:ilvl w:val="0"/>
          <w:numId w:val="1013"/>
        </w:numPr>
      </w:pPr>
      <w:r>
        <w:t xml:space="preserve">Security</w:t>
      </w:r>
    </w:p>
    <w:p>
      <w:pPr>
        <w:pStyle w:val="FirstParagraph"/>
      </w:pPr>
      <w:r>
        <w:t xml:space="preserve">Only implemented capabilities require configuration sections.</w:t>
      </w:r>
    </w:p>
    <w:p>
      <w:pPr>
        <w:pStyle w:val="BodyText"/>
      </w:pPr>
      <w:r>
        <w:t xml:space="preserve">Do not create empty configuration sections for hypothetical future capabilities.</w:t>
      </w:r>
    </w:p>
    <w:p>
      <w:r>
        <w:pict>
          <v:rect style="width:0;height:1.5pt" o:hralign="center" o:hrstd="t" o:hr="t"/>
        </w:pict>
      </w:r>
    </w:p>
    <w:bookmarkEnd w:id="27"/>
    <w:bookmarkStart w:id="28" w:name="application-configuration"/>
    <w:p>
      <w:pPr>
        <w:pStyle w:val="Heading1"/>
      </w:pPr>
      <w:r>
        <w:t xml:space="preserve">Application Configuration</w:t>
      </w:r>
    </w:p>
    <w:p>
      <w:pPr>
        <w:pStyle w:val="FirstParagraph"/>
      </w:pPr>
      <w:r>
        <w:t xml:space="preserve">Application configuration may include:</w:t>
      </w:r>
    </w:p>
    <w:p>
      <w:pPr>
        <w:pStyle w:val="Compact"/>
        <w:numPr>
          <w:ilvl w:val="0"/>
          <w:numId w:val="1014"/>
        </w:numPr>
      </w:pPr>
      <w:r>
        <w:t xml:space="preserve">application identity</w:t>
      </w:r>
    </w:p>
    <w:p>
      <w:pPr>
        <w:pStyle w:val="Compact"/>
        <w:numPr>
          <w:ilvl w:val="0"/>
          <w:numId w:val="1014"/>
        </w:numPr>
      </w:pPr>
      <w:r>
        <w:t xml:space="preserve">active profile</w:t>
      </w:r>
    </w:p>
    <w:p>
      <w:pPr>
        <w:pStyle w:val="Compact"/>
        <w:numPr>
          <w:ilvl w:val="0"/>
          <w:numId w:val="1014"/>
        </w:numPr>
      </w:pPr>
      <w:r>
        <w:t xml:space="preserve">feature availability</w:t>
      </w:r>
    </w:p>
    <w:p>
      <w:pPr>
        <w:pStyle w:val="Compact"/>
        <w:numPr>
          <w:ilvl w:val="0"/>
          <w:numId w:val="1014"/>
        </w:numPr>
      </w:pPr>
      <w:r>
        <w:t xml:space="preserve">UI startup behaviour</w:t>
      </w:r>
    </w:p>
    <w:p>
      <w:pPr>
        <w:pStyle w:val="FirstParagraph"/>
      </w:pPr>
      <w:r>
        <w:t xml:space="preserve">Application configuration shall not contain domain business rules.</w:t>
      </w:r>
    </w:p>
    <w:p>
      <w:r>
        <w:pict>
          <v:rect style="width:0;height:1.5pt" o:hralign="center" o:hrstd="t" o:hr="t"/>
        </w:pict>
      </w:r>
    </w:p>
    <w:bookmarkEnd w:id="28"/>
    <w:bookmarkStart w:id="29" w:name="runtime-configuration"/>
    <w:p>
      <w:pPr>
        <w:pStyle w:val="Heading1"/>
      </w:pPr>
      <w:r>
        <w:t xml:space="preserve">Runtime Configuration</w:t>
      </w:r>
    </w:p>
    <w:p>
      <w:pPr>
        <w:pStyle w:val="FirstParagraph"/>
      </w:pPr>
      <w:r>
        <w:t xml:space="preserve">Runtime configuration may include:</w:t>
      </w:r>
    </w:p>
    <w:p>
      <w:pPr>
        <w:pStyle w:val="Compact"/>
        <w:numPr>
          <w:ilvl w:val="0"/>
          <w:numId w:val="1015"/>
        </w:numPr>
      </w:pPr>
      <w:r>
        <w:t xml:space="preserve">shutdown timeout</w:t>
      </w:r>
    </w:p>
    <w:p>
      <w:pPr>
        <w:pStyle w:val="Compact"/>
        <w:numPr>
          <w:ilvl w:val="0"/>
          <w:numId w:val="1015"/>
        </w:numPr>
      </w:pPr>
      <w:r>
        <w:t xml:space="preserve">worker lifecycle settings</w:t>
      </w:r>
    </w:p>
    <w:p>
      <w:pPr>
        <w:pStyle w:val="Compact"/>
        <w:numPr>
          <w:ilvl w:val="0"/>
          <w:numId w:val="1015"/>
        </w:numPr>
      </w:pPr>
      <w:r>
        <w:t xml:space="preserve">runtime health intervals</w:t>
      </w:r>
    </w:p>
    <w:p>
      <w:pPr>
        <w:pStyle w:val="Compact"/>
        <w:numPr>
          <w:ilvl w:val="0"/>
          <w:numId w:val="1015"/>
        </w:numPr>
      </w:pPr>
      <w:r>
        <w:t xml:space="preserve">controlled technical timeouts</w:t>
      </w:r>
    </w:p>
    <w:p>
      <w:pPr>
        <w:pStyle w:val="FirstParagraph"/>
      </w:pPr>
      <w:r>
        <w:t xml:space="preserve">Runtime values shall preserve deterministic lifecycle behaviour.</w:t>
      </w:r>
    </w:p>
    <w:p>
      <w:r>
        <w:pict>
          <v:rect style="width:0;height:1.5pt" o:hralign="center" o:hrstd="t" o:hr="t"/>
        </w:pict>
      </w:r>
    </w:p>
    <w:bookmarkEnd w:id="29"/>
    <w:bookmarkStart w:id="30" w:name="logging-configuration"/>
    <w:p>
      <w:pPr>
        <w:pStyle w:val="Heading1"/>
      </w:pPr>
      <w:r>
        <w:t xml:space="preserve">Logging Configuration</w:t>
      </w:r>
    </w:p>
    <w:p>
      <w:pPr>
        <w:pStyle w:val="FirstParagraph"/>
      </w:pPr>
      <w:r>
        <w:t xml:space="preserve">Logging configuration may include:</w:t>
      </w:r>
    </w:p>
    <w:p>
      <w:pPr>
        <w:pStyle w:val="Compact"/>
        <w:numPr>
          <w:ilvl w:val="0"/>
          <w:numId w:val="1016"/>
        </w:numPr>
      </w:pPr>
      <w:r>
        <w:t xml:space="preserve">log level</w:t>
      </w:r>
    </w:p>
    <w:p>
      <w:pPr>
        <w:pStyle w:val="Compact"/>
        <w:numPr>
          <w:ilvl w:val="0"/>
          <w:numId w:val="1016"/>
        </w:numPr>
      </w:pPr>
      <w:r>
        <w:t xml:space="preserve">output destination</w:t>
      </w:r>
    </w:p>
    <w:p>
      <w:pPr>
        <w:pStyle w:val="Compact"/>
        <w:numPr>
          <w:ilvl w:val="0"/>
          <w:numId w:val="1016"/>
        </w:numPr>
      </w:pPr>
      <w:r>
        <w:t xml:space="preserve">structured logging format</w:t>
      </w:r>
    </w:p>
    <w:p>
      <w:pPr>
        <w:pStyle w:val="Compact"/>
        <w:numPr>
          <w:ilvl w:val="0"/>
          <w:numId w:val="1016"/>
        </w:numPr>
      </w:pPr>
      <w:r>
        <w:t xml:space="preserve">retention settings where supported</w:t>
      </w:r>
    </w:p>
    <w:p>
      <w:pPr>
        <w:pStyle w:val="FirstParagraph"/>
      </w:pPr>
      <w:r>
        <w:t xml:space="preserve">Sensitive information shall not be enabled through logging configuration.</w:t>
      </w:r>
    </w:p>
    <w:p>
      <w:pPr>
        <w:pStyle w:val="BodyText"/>
      </w:pPr>
      <w:r>
        <w:t xml:space="preserve">Debug logging shall not expose secrets.</w:t>
      </w:r>
    </w:p>
    <w:p>
      <w:r>
        <w:pict>
          <v:rect style="width:0;height:1.5pt" o:hralign="center" o:hrstd="t" o:hr="t"/>
        </w:pict>
      </w:r>
    </w:p>
    <w:bookmarkEnd w:id="30"/>
    <w:bookmarkStart w:id="31" w:name="database-configuration"/>
    <w:p>
      <w:pPr>
        <w:pStyle w:val="Heading1"/>
      </w:pPr>
      <w:r>
        <w:t xml:space="preserve">Database Configuration</w:t>
      </w:r>
    </w:p>
    <w:p>
      <w:pPr>
        <w:pStyle w:val="FirstParagraph"/>
      </w:pPr>
      <w:r>
        <w:t xml:space="preserve">Database configuration may include:</w:t>
      </w:r>
    </w:p>
    <w:p>
      <w:pPr>
        <w:pStyle w:val="Compact"/>
        <w:numPr>
          <w:ilvl w:val="0"/>
          <w:numId w:val="1017"/>
        </w:numPr>
      </w:pPr>
      <w:r>
        <w:t xml:space="preserve">database location</w:t>
      </w:r>
    </w:p>
    <w:p>
      <w:pPr>
        <w:pStyle w:val="Compact"/>
        <w:numPr>
          <w:ilvl w:val="0"/>
          <w:numId w:val="1017"/>
        </w:numPr>
      </w:pPr>
      <w:r>
        <w:t xml:space="preserve">connection settings</w:t>
      </w:r>
    </w:p>
    <w:p>
      <w:pPr>
        <w:pStyle w:val="Compact"/>
        <w:numPr>
          <w:ilvl w:val="0"/>
          <w:numId w:val="1017"/>
        </w:numPr>
      </w:pPr>
      <w:r>
        <w:t xml:space="preserve">initialization behaviour</w:t>
      </w:r>
    </w:p>
    <w:p>
      <w:pPr>
        <w:pStyle w:val="FirstParagraph"/>
      </w:pPr>
      <w:r>
        <w:t xml:space="preserve">The initial Trading Cockpit uses SQLite.</w:t>
      </w:r>
    </w:p>
    <w:p>
      <w:pPr>
        <w:pStyle w:val="BodyText"/>
      </w:pPr>
      <w:r>
        <w:t xml:space="preserve">Database configuration shall remain isolated from Domain logic.</w:t>
      </w:r>
    </w:p>
    <w:p>
      <w:r>
        <w:pict>
          <v:rect style="width:0;height:1.5pt" o:hralign="center" o:hrstd="t" o:hr="t"/>
        </w:pict>
      </w:r>
    </w:p>
    <w:bookmarkEnd w:id="31"/>
    <w:bookmarkStart w:id="32" w:name="broker-configuration"/>
    <w:p>
      <w:pPr>
        <w:pStyle w:val="Heading1"/>
      </w:pPr>
      <w:r>
        <w:t xml:space="preserve">Broker Configuration</w:t>
      </w:r>
    </w:p>
    <w:p>
      <w:pPr>
        <w:pStyle w:val="FirstParagraph"/>
      </w:pPr>
      <w:r>
        <w:t xml:space="preserve">Broker configuration may include:</w:t>
      </w:r>
    </w:p>
    <w:p>
      <w:pPr>
        <w:pStyle w:val="Compact"/>
        <w:numPr>
          <w:ilvl w:val="0"/>
          <w:numId w:val="1018"/>
        </w:numPr>
      </w:pPr>
      <w:r>
        <w:t xml:space="preserve">provider</w:t>
      </w:r>
    </w:p>
    <w:p>
      <w:pPr>
        <w:pStyle w:val="Compact"/>
        <w:numPr>
          <w:ilvl w:val="0"/>
          <w:numId w:val="1018"/>
        </w:numPr>
      </w:pPr>
      <w:r>
        <w:t xml:space="preserve">host</w:t>
      </w:r>
    </w:p>
    <w:p>
      <w:pPr>
        <w:pStyle w:val="Compact"/>
        <w:numPr>
          <w:ilvl w:val="0"/>
          <w:numId w:val="1018"/>
        </w:numPr>
      </w:pPr>
      <w:r>
        <w:t xml:space="preserve">port</w:t>
      </w:r>
    </w:p>
    <w:p>
      <w:pPr>
        <w:pStyle w:val="Compact"/>
        <w:numPr>
          <w:ilvl w:val="0"/>
          <w:numId w:val="1018"/>
        </w:numPr>
      </w:pPr>
      <w:r>
        <w:t xml:space="preserve">client identifier</w:t>
      </w:r>
    </w:p>
    <w:p>
      <w:pPr>
        <w:pStyle w:val="Compact"/>
        <w:numPr>
          <w:ilvl w:val="0"/>
          <w:numId w:val="1018"/>
        </w:numPr>
      </w:pPr>
      <w:r>
        <w:t xml:space="preserve">account context</w:t>
      </w:r>
    </w:p>
    <w:p>
      <w:pPr>
        <w:pStyle w:val="Compact"/>
        <w:numPr>
          <w:ilvl w:val="0"/>
          <w:numId w:val="1018"/>
        </w:numPr>
      </w:pPr>
      <w:r>
        <w:t xml:space="preserve">connection timeout</w:t>
      </w:r>
    </w:p>
    <w:p>
      <w:pPr>
        <w:pStyle w:val="Compact"/>
        <w:numPr>
          <w:ilvl w:val="0"/>
          <w:numId w:val="1018"/>
        </w:numPr>
      </w:pPr>
      <w:r>
        <w:t xml:space="preserve">active trading environment</w:t>
      </w:r>
    </w:p>
    <w:p>
      <w:pPr>
        <w:pStyle w:val="FirstParagraph"/>
      </w:pPr>
      <w:r>
        <w:t xml:space="preserve">Broker configuration shall explicitly preserve PAPER or LIVE context.</w:t>
      </w:r>
    </w:p>
    <w:p>
      <w:pPr>
        <w:pStyle w:val="BodyText"/>
      </w:pPr>
      <w:r>
        <w:t xml:space="preserve">Broker credentials shall not be stored in source-controlled YAML files.</w:t>
      </w:r>
    </w:p>
    <w:p>
      <w:pPr>
        <w:pStyle w:val="BodyText"/>
      </w:pPr>
      <w:r>
        <w:t xml:space="preserve">Provider-specific settings belong to provider-specific configuration models where required.</w:t>
      </w:r>
    </w:p>
    <w:p>
      <w:r>
        <w:pict>
          <v:rect style="width:0;height:1.5pt" o:hralign="center" o:hrstd="t" o:hr="t"/>
        </w:pict>
      </w:r>
    </w:p>
    <w:bookmarkEnd w:id="32"/>
    <w:bookmarkStart w:id="33" w:name="market-data-configuration"/>
    <w:p>
      <w:pPr>
        <w:pStyle w:val="Heading1"/>
      </w:pPr>
      <w:r>
        <w:t xml:space="preserve">Market Data Configuration</w:t>
      </w:r>
    </w:p>
    <w:p>
      <w:pPr>
        <w:pStyle w:val="FirstParagraph"/>
      </w:pPr>
      <w:r>
        <w:t xml:space="preserve">Market data configuration may include:</w:t>
      </w:r>
    </w:p>
    <w:p>
      <w:pPr>
        <w:pStyle w:val="Compact"/>
        <w:numPr>
          <w:ilvl w:val="0"/>
          <w:numId w:val="1019"/>
        </w:numPr>
      </w:pPr>
      <w:r>
        <w:t xml:space="preserve">provider</w:t>
      </w:r>
    </w:p>
    <w:p>
      <w:pPr>
        <w:pStyle w:val="Compact"/>
        <w:numPr>
          <w:ilvl w:val="0"/>
          <w:numId w:val="1019"/>
        </w:numPr>
      </w:pPr>
      <w:r>
        <w:t xml:space="preserve">connection settings</w:t>
      </w:r>
    </w:p>
    <w:p>
      <w:pPr>
        <w:pStyle w:val="Compact"/>
        <w:numPr>
          <w:ilvl w:val="0"/>
          <w:numId w:val="1019"/>
        </w:numPr>
      </w:pPr>
      <w:r>
        <w:t xml:space="preserve">subscription settings</w:t>
      </w:r>
    </w:p>
    <w:p>
      <w:pPr>
        <w:pStyle w:val="Compact"/>
        <w:numPr>
          <w:ilvl w:val="0"/>
          <w:numId w:val="1019"/>
        </w:numPr>
      </w:pPr>
      <w:r>
        <w:t xml:space="preserve">technical refresh intervals</w:t>
      </w:r>
    </w:p>
    <w:p>
      <w:pPr>
        <w:pStyle w:val="Compact"/>
        <w:numPr>
          <w:ilvl w:val="0"/>
          <w:numId w:val="1019"/>
        </w:numPr>
      </w:pPr>
      <w:r>
        <w:t xml:space="preserve">technical timeout values</w:t>
      </w:r>
    </w:p>
    <w:p>
      <w:pPr>
        <w:pStyle w:val="FirstParagraph"/>
      </w:pPr>
      <w:r>
        <w:t xml:space="preserve">Market data configuration shall not contain trading decision rules.</w:t>
      </w:r>
    </w:p>
    <w:p>
      <w:pPr>
        <w:pStyle w:val="BodyText"/>
      </w:pPr>
      <w:r>
        <w:t xml:space="preserve">Data freshness thresholds require explicit product or application ownership when they affect trading workflows.</w:t>
      </w:r>
    </w:p>
    <w:p>
      <w:r>
        <w:pict>
          <v:rect style="width:0;height:1.5pt" o:hralign="center" o:hrstd="t" o:hr="t"/>
        </w:pict>
      </w:r>
    </w:p>
    <w:bookmarkEnd w:id="33"/>
    <w:bookmarkStart w:id="34" w:name="workspace-configuration"/>
    <w:p>
      <w:pPr>
        <w:pStyle w:val="Heading1"/>
      </w:pPr>
      <w:r>
        <w:t xml:space="preserve">Workspace Configuration</w:t>
      </w:r>
    </w:p>
    <w:p>
      <w:pPr>
        <w:pStyle w:val="FirstParagraph"/>
      </w:pPr>
      <w:r>
        <w:t xml:space="preserve">Workspace configuration may include:</w:t>
      </w:r>
    </w:p>
    <w:p>
      <w:pPr>
        <w:pStyle w:val="Compact"/>
        <w:numPr>
          <w:ilvl w:val="0"/>
          <w:numId w:val="1020"/>
        </w:numPr>
      </w:pPr>
      <w:r>
        <w:t xml:space="preserve">workspace storage location</w:t>
      </w:r>
    </w:p>
    <w:p>
      <w:pPr>
        <w:pStyle w:val="Compact"/>
        <w:numPr>
          <w:ilvl w:val="0"/>
          <w:numId w:val="1020"/>
        </w:numPr>
      </w:pPr>
      <w:r>
        <w:t xml:space="preserve">startup workspace behaviour</w:t>
      </w:r>
    </w:p>
    <w:p>
      <w:pPr>
        <w:pStyle w:val="Compact"/>
        <w:numPr>
          <w:ilvl w:val="0"/>
          <w:numId w:val="1020"/>
        </w:numPr>
      </w:pPr>
      <w:r>
        <w:t xml:space="preserve">restoration behaviour</w:t>
      </w:r>
    </w:p>
    <w:p>
      <w:pPr>
        <w:pStyle w:val="Compact"/>
        <w:numPr>
          <w:ilvl w:val="0"/>
          <w:numId w:val="1020"/>
        </w:numPr>
      </w:pPr>
      <w:r>
        <w:t xml:space="preserve">fallback workspace</w:t>
      </w:r>
    </w:p>
    <w:p>
      <w:pPr>
        <w:pStyle w:val="FirstParagraph"/>
      </w:pPr>
      <w:r>
        <w:t xml:space="preserve">User workspace state is not static application configuration.</w:t>
      </w:r>
    </w:p>
    <w:p>
      <w:pPr>
        <w:pStyle w:val="BodyText"/>
      </w:pPr>
      <w:r>
        <w:t xml:space="preserve">Workspace layouts and widget state shall remain in workspace persistence.</w:t>
      </w:r>
    </w:p>
    <w:p>
      <w:r>
        <w:pict>
          <v:rect style="width:0;height:1.5pt" o:hralign="center" o:hrstd="t" o:hr="t"/>
        </w:pict>
      </w:r>
    </w:p>
    <w:bookmarkEnd w:id="34"/>
    <w:bookmarkStart w:id="35" w:name="messaging-configuration"/>
    <w:p>
      <w:pPr>
        <w:pStyle w:val="Heading1"/>
      </w:pPr>
      <w:r>
        <w:t xml:space="preserve">Messaging Configuration</w:t>
      </w:r>
    </w:p>
    <w:p>
      <w:pPr>
        <w:pStyle w:val="FirstParagraph"/>
      </w:pPr>
      <w:r>
        <w:t xml:space="preserve">Messaging configuration may include:</w:t>
      </w:r>
    </w:p>
    <w:p>
      <w:pPr>
        <w:pStyle w:val="Compact"/>
        <w:numPr>
          <w:ilvl w:val="0"/>
          <w:numId w:val="1021"/>
        </w:numPr>
      </w:pPr>
      <w:r>
        <w:t xml:space="preserve">internal queue limits</w:t>
      </w:r>
    </w:p>
    <w:p>
      <w:pPr>
        <w:pStyle w:val="Compact"/>
        <w:numPr>
          <w:ilvl w:val="0"/>
          <w:numId w:val="1021"/>
        </w:numPr>
      </w:pPr>
      <w:r>
        <w:t xml:space="preserve">technical delivery settings</w:t>
      </w:r>
    </w:p>
    <w:p>
      <w:pPr>
        <w:pStyle w:val="Compact"/>
        <w:numPr>
          <w:ilvl w:val="0"/>
          <w:numId w:val="1021"/>
        </w:numPr>
      </w:pPr>
      <w:r>
        <w:t xml:space="preserve">event processing settings</w:t>
      </w:r>
    </w:p>
    <w:p>
      <w:pPr>
        <w:pStyle w:val="FirstParagraph"/>
      </w:pPr>
      <w:r>
        <w:t xml:space="preserve">Messaging configuration shall not define business workflow decisions.</w:t>
      </w:r>
    </w:p>
    <w:p>
      <w:r>
        <w:pict>
          <v:rect style="width:0;height:1.5pt" o:hralign="center" o:hrstd="t" o:hr="t"/>
        </w:pict>
      </w:r>
    </w:p>
    <w:bookmarkEnd w:id="35"/>
    <w:bookmarkStart w:id="36" w:name="scheduler-configuration"/>
    <w:p>
      <w:pPr>
        <w:pStyle w:val="Heading1"/>
      </w:pPr>
      <w:r>
        <w:t xml:space="preserve">Scheduler Configuration</w:t>
      </w:r>
    </w:p>
    <w:p>
      <w:pPr>
        <w:pStyle w:val="FirstParagraph"/>
      </w:pPr>
      <w:r>
        <w:t xml:space="preserve">Scheduler configuration may include technical scheduling behaviour.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2"/>
        </w:numPr>
      </w:pPr>
      <w:r>
        <w:t xml:space="preserve">maintenance intervals</w:t>
      </w:r>
    </w:p>
    <w:p>
      <w:pPr>
        <w:pStyle w:val="Compact"/>
        <w:numPr>
          <w:ilvl w:val="0"/>
          <w:numId w:val="1022"/>
        </w:numPr>
      </w:pPr>
      <w:r>
        <w:t xml:space="preserve">health-check intervals</w:t>
      </w:r>
    </w:p>
    <w:p>
      <w:pPr>
        <w:pStyle w:val="Compact"/>
        <w:numPr>
          <w:ilvl w:val="0"/>
          <w:numId w:val="1022"/>
        </w:numPr>
      </w:pPr>
      <w:r>
        <w:t xml:space="preserve">background refresh intervals</w:t>
      </w:r>
    </w:p>
    <w:p>
      <w:pPr>
        <w:pStyle w:val="FirstParagraph"/>
      </w:pPr>
      <w:r>
        <w:t xml:space="preserve">Trading workflow schedules require explicit Application or Domain ownership.</w:t>
      </w:r>
    </w:p>
    <w:p>
      <w:pPr>
        <w:pStyle w:val="BodyText"/>
      </w:pPr>
      <w:r>
        <w:t xml:space="preserve">The scheduler shall not define trading strategy timing through generic infrastructure configuration.</w:t>
      </w:r>
    </w:p>
    <w:p>
      <w:r>
        <w:pict>
          <v:rect style="width:0;height:1.5pt" o:hralign="center" o:hrstd="t" o:hr="t"/>
        </w:pict>
      </w:r>
    </w:p>
    <w:bookmarkEnd w:id="36"/>
    <w:bookmarkStart w:id="37" w:name="monitoring-configuration"/>
    <w:p>
      <w:pPr>
        <w:pStyle w:val="Heading1"/>
      </w:pPr>
      <w:r>
        <w:t xml:space="preserve">Monitoring Configuration</w:t>
      </w:r>
    </w:p>
    <w:p>
      <w:pPr>
        <w:pStyle w:val="FirstParagraph"/>
      </w:pPr>
      <w:r>
        <w:t xml:space="preserve">Monitoring configuration may include:</w:t>
      </w:r>
    </w:p>
    <w:p>
      <w:pPr>
        <w:pStyle w:val="Compact"/>
        <w:numPr>
          <w:ilvl w:val="0"/>
          <w:numId w:val="1023"/>
        </w:numPr>
      </w:pPr>
      <w:r>
        <w:t xml:space="preserve">enabled health metrics</w:t>
      </w:r>
    </w:p>
    <w:p>
      <w:pPr>
        <w:pStyle w:val="Compact"/>
        <w:numPr>
          <w:ilvl w:val="0"/>
          <w:numId w:val="1023"/>
        </w:numPr>
      </w:pPr>
      <w:r>
        <w:t xml:space="preserve">collection intervals</w:t>
      </w:r>
    </w:p>
    <w:p>
      <w:pPr>
        <w:pStyle w:val="Compact"/>
        <w:numPr>
          <w:ilvl w:val="0"/>
          <w:numId w:val="1023"/>
        </w:numPr>
      </w:pPr>
      <w:r>
        <w:t xml:space="preserve">operational thresholds</w:t>
      </w:r>
    </w:p>
    <w:p>
      <w:pPr>
        <w:pStyle w:val="FirstParagraph"/>
      </w:pPr>
      <w:r>
        <w:t xml:space="preserve">Monitoring shall observe application behaviour.</w:t>
      </w:r>
    </w:p>
    <w:p>
      <w:pPr>
        <w:pStyle w:val="BodyText"/>
      </w:pPr>
      <w:r>
        <w:t xml:space="preserve">Monitoring configuration shall not alter trading decisions.</w:t>
      </w:r>
    </w:p>
    <w:p>
      <w:r>
        <w:pict>
          <v:rect style="width:0;height:1.5pt" o:hralign="center" o:hrstd="t" o:hr="t"/>
        </w:pict>
      </w:r>
    </w:p>
    <w:bookmarkEnd w:id="37"/>
    <w:bookmarkStart w:id="38" w:name="health-configuration"/>
    <w:p>
      <w:pPr>
        <w:pStyle w:val="Heading1"/>
      </w:pPr>
      <w:r>
        <w:t xml:space="preserve">Health Configuration</w:t>
      </w:r>
    </w:p>
    <w:p>
      <w:pPr>
        <w:pStyle w:val="FirstParagraph"/>
      </w:pPr>
      <w:r>
        <w:t xml:space="preserve">Health configuration may include:</w:t>
      </w:r>
    </w:p>
    <w:p>
      <w:pPr>
        <w:pStyle w:val="Compact"/>
        <w:numPr>
          <w:ilvl w:val="0"/>
          <w:numId w:val="1024"/>
        </w:numPr>
      </w:pPr>
      <w:r>
        <w:t xml:space="preserve">check intervals</w:t>
      </w:r>
    </w:p>
    <w:p>
      <w:pPr>
        <w:pStyle w:val="Compact"/>
        <w:numPr>
          <w:ilvl w:val="0"/>
          <w:numId w:val="1024"/>
        </w:numPr>
      </w:pPr>
      <w:r>
        <w:t xml:space="preserve">technical timeout values</w:t>
      </w:r>
    </w:p>
    <w:p>
      <w:pPr>
        <w:pStyle w:val="Compact"/>
        <w:numPr>
          <w:ilvl w:val="0"/>
          <w:numId w:val="1024"/>
        </w:numPr>
      </w:pPr>
      <w:r>
        <w:t xml:space="preserve">enabled health checks</w:t>
      </w:r>
    </w:p>
    <w:p>
      <w:pPr>
        <w:pStyle w:val="FirstParagraph"/>
      </w:pPr>
      <w:r>
        <w:t xml:space="preserve">Health state definitions shall remain consistent with the runtime and monitoring architecture.</w:t>
      </w:r>
    </w:p>
    <w:p>
      <w:r>
        <w:pict>
          <v:rect style="width:0;height:1.5pt" o:hralign="center" o:hrstd="t" o:hr="t"/>
        </w:pict>
      </w:r>
    </w:p>
    <w:bookmarkEnd w:id="38"/>
    <w:bookmarkStart w:id="39" w:name="security-configuration"/>
    <w:p>
      <w:pPr>
        <w:pStyle w:val="Heading1"/>
      </w:pPr>
      <w:r>
        <w:t xml:space="preserve">Security Configuration</w:t>
      </w:r>
    </w:p>
    <w:p>
      <w:pPr>
        <w:pStyle w:val="FirstParagraph"/>
      </w:pPr>
      <w:r>
        <w:t xml:space="preserve">Security configuration may include:</w:t>
      </w:r>
    </w:p>
    <w:p>
      <w:pPr>
        <w:pStyle w:val="Compact"/>
        <w:numPr>
          <w:ilvl w:val="0"/>
          <w:numId w:val="1025"/>
        </w:numPr>
      </w:pPr>
      <w:r>
        <w:t xml:space="preserve">secret provider selection</w:t>
      </w:r>
    </w:p>
    <w:p>
      <w:pPr>
        <w:pStyle w:val="Compact"/>
        <w:numPr>
          <w:ilvl w:val="0"/>
          <w:numId w:val="1025"/>
        </w:numPr>
      </w:pPr>
      <w:r>
        <w:t xml:space="preserve">credential storage integration</w:t>
      </w:r>
    </w:p>
    <w:p>
      <w:pPr>
        <w:pStyle w:val="Compact"/>
        <w:numPr>
          <w:ilvl w:val="0"/>
          <w:numId w:val="1025"/>
        </w:numPr>
      </w:pPr>
      <w:r>
        <w:t xml:space="preserve">security-related technical settings</w:t>
      </w:r>
    </w:p>
    <w:p>
      <w:pPr>
        <w:pStyle w:val="FirstParagraph"/>
      </w:pPr>
      <w:r>
        <w:t xml:space="preserve">Security configuration shall not expose secret values through diagnostics or UI configuration views.</w:t>
      </w:r>
    </w:p>
    <w:p>
      <w:r>
        <w:pict>
          <v:rect style="width:0;height:1.5pt" o:hralign="center" o:hrstd="t" o:hr="t"/>
        </w:pict>
      </w:r>
    </w:p>
    <w:bookmarkEnd w:id="39"/>
    <w:bookmarkStart w:id="40" w:name="secrets"/>
    <w:p>
      <w:pPr>
        <w:pStyle w:val="Heading1"/>
      </w:pPr>
      <w:r>
        <w:t xml:space="preserve">Secrets</w:t>
      </w:r>
    </w:p>
    <w:p>
      <w:pPr>
        <w:pStyle w:val="FirstParagraph"/>
      </w:pPr>
      <w:r>
        <w:t xml:space="preserve">Sensitive information shall never be stored directly in source code.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6"/>
        </w:numPr>
      </w:pPr>
      <w:r>
        <w:t xml:space="preserve">API keys</w:t>
      </w:r>
    </w:p>
    <w:p>
      <w:pPr>
        <w:pStyle w:val="Compact"/>
        <w:numPr>
          <w:ilvl w:val="0"/>
          <w:numId w:val="1026"/>
        </w:numPr>
      </w:pPr>
      <w:r>
        <w:t xml:space="preserve">access tokens</w:t>
      </w:r>
    </w:p>
    <w:p>
      <w:pPr>
        <w:pStyle w:val="Compact"/>
        <w:numPr>
          <w:ilvl w:val="0"/>
          <w:numId w:val="1026"/>
        </w:numPr>
      </w:pPr>
      <w:r>
        <w:t xml:space="preserve">passwords</w:t>
      </w:r>
    </w:p>
    <w:p>
      <w:pPr>
        <w:pStyle w:val="Compact"/>
        <w:numPr>
          <w:ilvl w:val="0"/>
          <w:numId w:val="1026"/>
        </w:numPr>
      </w:pPr>
      <w:r>
        <w:t xml:space="preserve">broker credentials</w:t>
      </w:r>
    </w:p>
    <w:p>
      <w:pPr>
        <w:pStyle w:val="FirstParagraph"/>
      </w:pPr>
      <w:r>
        <w:t xml:space="preserve">Secrets shall not be committed to source control.</w:t>
      </w:r>
    </w:p>
    <w:p>
      <w:pPr>
        <w:pStyle w:val="BodyText"/>
      </w:pPr>
      <w:r>
        <w:t xml:space="preserve">Secrets should be provided through approved external mechanisms such as:</w:t>
      </w:r>
    </w:p>
    <w:p>
      <w:pPr>
        <w:pStyle w:val="Compact"/>
        <w:numPr>
          <w:ilvl w:val="0"/>
          <w:numId w:val="1027"/>
        </w:numPr>
      </w:pPr>
      <w:r>
        <w:t xml:space="preserve">environment variables</w:t>
      </w:r>
    </w:p>
    <w:p>
      <w:pPr>
        <w:pStyle w:val="Compact"/>
        <w:numPr>
          <w:ilvl w:val="0"/>
          <w:numId w:val="1027"/>
        </w:numPr>
      </w:pPr>
      <w:r>
        <w:t xml:space="preserve">operating system credential storage</w:t>
      </w:r>
    </w:p>
    <w:p>
      <w:pPr>
        <w:pStyle w:val="Compact"/>
        <w:numPr>
          <w:ilvl w:val="0"/>
          <w:numId w:val="1027"/>
        </w:numPr>
      </w:pPr>
      <w:r>
        <w:t xml:space="preserve">dedicated secret providers</w:t>
      </w:r>
    </w:p>
    <w:p>
      <w:pPr>
        <w:pStyle w:val="FirstParagraph"/>
      </w:pPr>
      <w:r>
        <w:t xml:space="preserve">The selected mechanism shall be documented when implemented.</w:t>
      </w:r>
    </w:p>
    <w:p>
      <w:r>
        <w:pict>
          <v:rect style="width:0;height:1.5pt" o:hralign="center" o:hrstd="t" o:hr="t"/>
        </w:pict>
      </w:r>
    </w:p>
    <w:bookmarkEnd w:id="40"/>
    <w:bookmarkStart w:id="41" w:name="secret-access"/>
    <w:p>
      <w:pPr>
        <w:pStyle w:val="Heading1"/>
      </w:pPr>
      <w:r>
        <w:t xml:space="preserve">Secret Access</w:t>
      </w:r>
    </w:p>
    <w:p>
      <w:pPr>
        <w:pStyle w:val="FirstParagraph"/>
      </w:pPr>
      <w:r>
        <w:t xml:space="preserve">Secret access shall remain explicit.</w:t>
      </w:r>
    </w:p>
    <w:p>
      <w:pPr>
        <w:pStyle w:val="BodyText"/>
      </w:pPr>
      <w:r>
        <w:t xml:space="preserve">Application components should receive required credentials through controlled configuration or credential abstractions.</w:t>
      </w:r>
    </w:p>
    <w:p>
      <w:pPr>
        <w:pStyle w:val="BodyText"/>
      </w:pPr>
      <w:r>
        <w:t xml:space="preserve">Avoid unrestricted global secret access.</w:t>
      </w:r>
    </w:p>
    <w:p>
      <w:pPr>
        <w:pStyle w:val="BodyText"/>
      </w:pPr>
      <w:r>
        <w:t xml:space="preserve">Secrets shall not be included in:</w:t>
      </w:r>
    </w:p>
    <w:p>
      <w:pPr>
        <w:pStyle w:val="Compact"/>
        <w:numPr>
          <w:ilvl w:val="0"/>
          <w:numId w:val="1028"/>
        </w:numPr>
      </w:pPr>
      <w:r>
        <w:t xml:space="preserve">logs</w:t>
      </w:r>
    </w:p>
    <w:p>
      <w:pPr>
        <w:pStyle w:val="Compact"/>
        <w:numPr>
          <w:ilvl w:val="0"/>
          <w:numId w:val="1028"/>
        </w:numPr>
      </w:pPr>
      <w:r>
        <w:t xml:space="preserve">exceptions</w:t>
      </w:r>
    </w:p>
    <w:p>
      <w:pPr>
        <w:pStyle w:val="Compact"/>
        <w:numPr>
          <w:ilvl w:val="0"/>
          <w:numId w:val="1028"/>
        </w:numPr>
      </w:pPr>
      <w:r>
        <w:t xml:space="preserve">UI error messages</w:t>
      </w:r>
    </w:p>
    <w:p>
      <w:pPr>
        <w:pStyle w:val="Compact"/>
        <w:numPr>
          <w:ilvl w:val="0"/>
          <w:numId w:val="1028"/>
        </w:numPr>
      </w:pPr>
      <w:r>
        <w:t xml:space="preserve">diagnostic exports</w:t>
      </w:r>
    </w:p>
    <w:p>
      <w:r>
        <w:pict>
          <v:rect style="width:0;height:1.5pt" o:hralign="center" o:hrstd="t" o:hr="t"/>
        </w:pict>
      </w:r>
    </w:p>
    <w:bookmarkEnd w:id="41"/>
    <w:bookmarkStart w:id="42" w:name="environment-variables"/>
    <w:p>
      <w:pPr>
        <w:pStyle w:val="Heading1"/>
      </w:pPr>
      <w:r>
        <w:t xml:space="preserve">Environment Variables</w:t>
      </w:r>
    </w:p>
    <w:p>
      <w:pPr>
        <w:pStyle w:val="FirstParagraph"/>
      </w:pPr>
      <w:r>
        <w:t xml:space="preserve">Environment variables should be reserved primarily for:</w:t>
      </w:r>
    </w:p>
    <w:p>
      <w:pPr>
        <w:pStyle w:val="Compact"/>
        <w:numPr>
          <w:ilvl w:val="0"/>
          <w:numId w:val="1029"/>
        </w:numPr>
      </w:pPr>
      <w:r>
        <w:t xml:space="preserve">secrets</w:t>
      </w:r>
    </w:p>
    <w:p>
      <w:pPr>
        <w:pStyle w:val="Compact"/>
        <w:numPr>
          <w:ilvl w:val="0"/>
          <w:numId w:val="1029"/>
        </w:numPr>
      </w:pPr>
      <w:r>
        <w:t xml:space="preserve">deployment-specific values</w:t>
      </w:r>
    </w:p>
    <w:p>
      <w:pPr>
        <w:pStyle w:val="Compact"/>
        <w:numPr>
          <w:ilvl w:val="0"/>
          <w:numId w:val="1029"/>
        </w:numPr>
      </w:pPr>
      <w:r>
        <w:t xml:space="preserve">machine-specific technical configuration</w:t>
      </w:r>
    </w:p>
    <w:p>
      <w:pPr>
        <w:pStyle w:val="FirstParagraph"/>
      </w:pPr>
      <w:r>
        <w:t xml:space="preserve">Environment variable names shall use a consistent prefix.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TRADING_PLATFORM_BROKER_HOST</w:t>
      </w:r>
      <w:r>
        <w:br/>
      </w:r>
      <w:r>
        <w:rPr>
          <w:rStyle w:val="VerbatimChar"/>
        </w:rPr>
        <w:t xml:space="preserve">TRADING_PLATFORM_BROKER_PORT</w:t>
      </w:r>
    </w:p>
    <w:p>
      <w:pPr>
        <w:pStyle w:val="FirstParagraph"/>
      </w:pPr>
      <w:r>
        <w:t xml:space="preserve">Environment variables shall be parsed and validated before use.</w:t>
      </w:r>
    </w:p>
    <w:p>
      <w:r>
        <w:pict>
          <v:rect style="width:0;height:1.5pt" o:hralign="center" o:hrstd="t" o:hr="t"/>
        </w:pict>
      </w:r>
    </w:p>
    <w:bookmarkEnd w:id="42"/>
    <w:bookmarkStart w:id="43" w:name="command-line-arguments"/>
    <w:p>
      <w:pPr>
        <w:pStyle w:val="Heading1"/>
      </w:pPr>
      <w:r>
        <w:t xml:space="preserve">Command-Line Arguments</w:t>
      </w:r>
    </w:p>
    <w:p>
      <w:pPr>
        <w:pStyle w:val="FirstParagraph"/>
      </w:pPr>
      <w:r>
        <w:t xml:space="preserve">Command-line arguments may select or override explicitly supported startup behaviour.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--profile paper</w:t>
      </w:r>
      <w:r>
        <w:br/>
      </w:r>
      <w:r>
        <w:rPr>
          <w:rStyle w:val="VerbatimChar"/>
        </w:rPr>
        <w:t xml:space="preserve">--profile live</w:t>
      </w:r>
    </w:p>
    <w:p>
      <w:pPr>
        <w:pStyle w:val="FirstParagraph"/>
      </w:pPr>
      <w:r>
        <w:t xml:space="preserve">Operationally critical command-line overrides shall remain visible in startup logs without exposing secrets.</w:t>
      </w:r>
    </w:p>
    <w:p>
      <w:pPr>
        <w:pStyle w:val="BodyText"/>
      </w:pPr>
      <w:r>
        <w:t xml:space="preserve">Unsupported arbitrary configuration overrides shall not be accepted silently.</w:t>
      </w:r>
    </w:p>
    <w:p>
      <w:r>
        <w:pict>
          <v:rect style="width:0;height:1.5pt" o:hralign="center" o:hrstd="t" o:hr="t"/>
        </w:pict>
      </w:r>
    </w:p>
    <w:bookmarkEnd w:id="43"/>
    <w:bookmarkStart w:id="44" w:name="runtime-overrides"/>
    <w:p>
      <w:pPr>
        <w:pStyle w:val="Heading1"/>
      </w:pPr>
      <w:r>
        <w:t xml:space="preserve">Runtime Overrides</w:t>
      </w:r>
    </w:p>
    <w:p>
      <w:pPr>
        <w:pStyle w:val="FirstParagraph"/>
      </w:pPr>
      <w:r>
        <w:t xml:space="preserve">Runtime overrides require explicit design.</w:t>
      </w:r>
    </w:p>
    <w:p>
      <w:pPr>
        <w:pStyle w:val="BodyText"/>
      </w:pPr>
      <w:r>
        <w:t xml:space="preserve">A runtime override shall define:</w:t>
      </w:r>
    </w:p>
    <w:p>
      <w:pPr>
        <w:pStyle w:val="Compact"/>
        <w:numPr>
          <w:ilvl w:val="0"/>
          <w:numId w:val="1030"/>
        </w:numPr>
      </w:pPr>
      <w:r>
        <w:t xml:space="preserve">owning capability</w:t>
      </w:r>
    </w:p>
    <w:p>
      <w:pPr>
        <w:pStyle w:val="Compact"/>
        <w:numPr>
          <w:ilvl w:val="0"/>
          <w:numId w:val="1030"/>
        </w:numPr>
      </w:pPr>
      <w:r>
        <w:t xml:space="preserve">allowed values</w:t>
      </w:r>
    </w:p>
    <w:p>
      <w:pPr>
        <w:pStyle w:val="Compact"/>
        <w:numPr>
          <w:ilvl w:val="0"/>
          <w:numId w:val="1030"/>
        </w:numPr>
      </w:pPr>
      <w:r>
        <w:t xml:space="preserve">persistence behaviour</w:t>
      </w:r>
    </w:p>
    <w:p>
      <w:pPr>
        <w:pStyle w:val="Compact"/>
        <w:numPr>
          <w:ilvl w:val="0"/>
          <w:numId w:val="1030"/>
        </w:numPr>
      </w:pPr>
      <w:r>
        <w:t xml:space="preserve">validation</w:t>
      </w:r>
    </w:p>
    <w:p>
      <w:pPr>
        <w:pStyle w:val="Compact"/>
        <w:numPr>
          <w:ilvl w:val="0"/>
          <w:numId w:val="1030"/>
        </w:numPr>
      </w:pPr>
      <w:r>
        <w:t xml:space="preserve">operational impact</w:t>
      </w:r>
    </w:p>
    <w:p>
      <w:pPr>
        <w:pStyle w:val="FirstParagraph"/>
      </w:pPr>
      <w:r>
        <w:t xml:space="preserve">LIVE-critical configuration shall not be changed through unrestricted runtime overrides.</w:t>
      </w:r>
    </w:p>
    <w:p>
      <w:pPr>
        <w:pStyle w:val="BodyText"/>
      </w:pPr>
      <w:r>
        <w:t xml:space="preserve">Changing broker execution environment during an active application session is prohibited unless explicitly designed and approved.</w:t>
      </w:r>
    </w:p>
    <w:p>
      <w:r>
        <w:pict>
          <v:rect style="width:0;height:1.5pt" o:hralign="center" o:hrstd="t" o:hr="t"/>
        </w:pict>
      </w:r>
    </w:p>
    <w:bookmarkEnd w:id="44"/>
    <w:bookmarkStart w:id="45" w:name="configuration-observability"/>
    <w:p>
      <w:pPr>
        <w:pStyle w:val="Heading1"/>
      </w:pPr>
      <w:r>
        <w:t xml:space="preserve">Configuration Observability</w:t>
      </w:r>
    </w:p>
    <w:p>
      <w:pPr>
        <w:pStyle w:val="FirstParagraph"/>
      </w:pPr>
      <w:r>
        <w:t xml:space="preserve">The application shall expose relevant non-sensitive configuration context.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active profile</w:t>
      </w:r>
    </w:p>
    <w:p>
      <w:pPr>
        <w:pStyle w:val="Compact"/>
        <w:numPr>
          <w:ilvl w:val="0"/>
          <w:numId w:val="1031"/>
        </w:numPr>
      </w:pPr>
      <w:r>
        <w:t xml:space="preserve">PAPER or LIVE environment</w:t>
      </w:r>
    </w:p>
    <w:p>
      <w:pPr>
        <w:pStyle w:val="Compact"/>
        <w:numPr>
          <w:ilvl w:val="0"/>
          <w:numId w:val="1031"/>
        </w:numPr>
      </w:pPr>
      <w:r>
        <w:t xml:space="preserve">configured broker provider</w:t>
      </w:r>
    </w:p>
    <w:p>
      <w:pPr>
        <w:pStyle w:val="Compact"/>
        <w:numPr>
          <w:ilvl w:val="0"/>
          <w:numId w:val="1031"/>
        </w:numPr>
      </w:pPr>
      <w:r>
        <w:t xml:space="preserve">configured market data provider</w:t>
      </w:r>
    </w:p>
    <w:p>
      <w:pPr>
        <w:pStyle w:val="Compact"/>
        <w:numPr>
          <w:ilvl w:val="0"/>
          <w:numId w:val="1031"/>
        </w:numPr>
      </w:pPr>
      <w:r>
        <w:t xml:space="preserve">database mode</w:t>
      </w:r>
    </w:p>
    <w:p>
      <w:pPr>
        <w:pStyle w:val="FirstParagraph"/>
      </w:pPr>
      <w:r>
        <w:t xml:space="preserve">Startup logging shall record relevant configuration context.</w:t>
      </w:r>
    </w:p>
    <w:p>
      <w:pPr>
        <w:pStyle w:val="BodyText"/>
      </w:pPr>
      <w:r>
        <w:t xml:space="preserve">Secret values shall never be logged.</w:t>
      </w:r>
    </w:p>
    <w:p>
      <w:r>
        <w:pict>
          <v:rect style="width:0;height:1.5pt" o:hralign="center" o:hrstd="t" o:hr="t"/>
        </w:pict>
      </w:r>
    </w:p>
    <w:bookmarkEnd w:id="45"/>
    <w:bookmarkStart w:id="46" w:name="configuration-and-ui"/>
    <w:p>
      <w:pPr>
        <w:pStyle w:val="Heading1"/>
      </w:pPr>
      <w:r>
        <w:t xml:space="preserve">Configuration and UI</w:t>
      </w:r>
    </w:p>
    <w:p>
      <w:pPr>
        <w:pStyle w:val="FirstParagraph"/>
      </w:pPr>
      <w:r>
        <w:t xml:space="preserve">Operationally important configuration state shall be visible in the Trading Cockpit where relevant.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2"/>
        </w:numPr>
      </w:pPr>
      <w:r>
        <w:t xml:space="preserve">PAPER mode</w:t>
      </w:r>
    </w:p>
    <w:p>
      <w:pPr>
        <w:pStyle w:val="Compact"/>
        <w:numPr>
          <w:ilvl w:val="0"/>
          <w:numId w:val="1032"/>
        </w:numPr>
      </w:pPr>
      <w:r>
        <w:t xml:space="preserve">LIVE mode</w:t>
      </w:r>
    </w:p>
    <w:p>
      <w:pPr>
        <w:pStyle w:val="Compact"/>
        <w:numPr>
          <w:ilvl w:val="0"/>
          <w:numId w:val="1032"/>
        </w:numPr>
      </w:pPr>
      <w:r>
        <w:t xml:space="preserve">broker provider</w:t>
      </w:r>
    </w:p>
    <w:p>
      <w:pPr>
        <w:pStyle w:val="Compact"/>
        <w:numPr>
          <w:ilvl w:val="0"/>
          <w:numId w:val="1032"/>
        </w:numPr>
      </w:pPr>
      <w:r>
        <w:t xml:space="preserve">broker connection state</w:t>
      </w:r>
    </w:p>
    <w:p>
      <w:pPr>
        <w:pStyle w:val="Compact"/>
        <w:numPr>
          <w:ilvl w:val="0"/>
          <w:numId w:val="1032"/>
        </w:numPr>
      </w:pPr>
      <w:r>
        <w:t xml:space="preserve">market data provider</w:t>
      </w:r>
    </w:p>
    <w:p>
      <w:pPr>
        <w:pStyle w:val="FirstParagraph"/>
      </w:pPr>
      <w:r>
        <w:t xml:space="preserve">The UI shall not require users to infer LIVE execution context from technical connection details.</w:t>
      </w:r>
    </w:p>
    <w:p>
      <w:r>
        <w:pict>
          <v:rect style="width:0;height:1.5pt" o:hralign="center" o:hrstd="t" o:hr="t"/>
        </w:pict>
      </w:r>
    </w:p>
    <w:bookmarkEnd w:id="46"/>
    <w:bookmarkStart w:id="47" w:name="configuration-compatibility"/>
    <w:p>
      <w:pPr>
        <w:pStyle w:val="Heading1"/>
      </w:pPr>
      <w:r>
        <w:t xml:space="preserve">Configuration Compatibility</w:t>
      </w:r>
    </w:p>
    <w:p>
      <w:pPr>
        <w:pStyle w:val="FirstParagraph"/>
      </w:pPr>
      <w:r>
        <w:t xml:space="preserve">Configuration compatibility shall be evaluated based on real application requirements.</w:t>
      </w:r>
    </w:p>
    <w:p>
      <w:pPr>
        <w:pStyle w:val="BodyText"/>
      </w:pPr>
      <w:r>
        <w:t xml:space="preserve">Breaking configuration changes require:</w:t>
      </w:r>
    </w:p>
    <w:p>
      <w:pPr>
        <w:pStyle w:val="Compact"/>
        <w:numPr>
          <w:ilvl w:val="0"/>
          <w:numId w:val="1033"/>
        </w:numPr>
      </w:pPr>
      <w:r>
        <w:t xml:space="preserve">documentation updates</w:t>
      </w:r>
    </w:p>
    <w:p>
      <w:pPr>
        <w:pStyle w:val="Compact"/>
        <w:numPr>
          <w:ilvl w:val="0"/>
          <w:numId w:val="1033"/>
        </w:numPr>
      </w:pPr>
      <w:r>
        <w:t xml:space="preserve">migration guidance where persisted configuration is affected</w:t>
      </w:r>
    </w:p>
    <w:p>
      <w:pPr>
        <w:pStyle w:val="Compact"/>
        <w:numPr>
          <w:ilvl w:val="0"/>
          <w:numId w:val="1033"/>
        </w:numPr>
      </w:pPr>
      <w:r>
        <w:t xml:space="preserve">automated tests</w:t>
      </w:r>
    </w:p>
    <w:p>
      <w:pPr>
        <w:pStyle w:val="Compact"/>
        <w:numPr>
          <w:ilvl w:val="0"/>
          <w:numId w:val="1033"/>
        </w:numPr>
      </w:pPr>
      <w:r>
        <w:t xml:space="preserve">explicit default handling</w:t>
      </w:r>
    </w:p>
    <w:p>
      <w:pPr>
        <w:pStyle w:val="FirstParagraph"/>
      </w:pPr>
      <w:r>
        <w:t xml:space="preserve">Do not preserve unused configuration fields solely for hypothetical backward compatibility.</w:t>
      </w:r>
    </w:p>
    <w:p>
      <w:r>
        <w:pict>
          <v:rect style="width:0;height:1.5pt" o:hralign="center" o:hrstd="t" o:hr="t"/>
        </w:pict>
      </w:r>
    </w:p>
    <w:bookmarkEnd w:id="47"/>
    <w:bookmarkStart w:id="48" w:name="unused-configuration"/>
    <w:p>
      <w:pPr>
        <w:pStyle w:val="Heading1"/>
      </w:pPr>
      <w:r>
        <w:t xml:space="preserve">Unused Configuration</w:t>
      </w:r>
    </w:p>
    <w:p>
      <w:pPr>
        <w:pStyle w:val="FirstParagraph"/>
      </w:pPr>
      <w:r>
        <w:t xml:space="preserve">Unused configuration entries shall be removed.</w:t>
      </w:r>
    </w:p>
    <w:p>
      <w:pPr>
        <w:pStyle w:val="BodyText"/>
      </w:pPr>
      <w:r>
        <w:t xml:space="preserve">The application shall avoid configuration flags that no longer affect behaviour.</w:t>
      </w:r>
    </w:p>
    <w:p>
      <w:pPr>
        <w:pStyle w:val="BodyText"/>
      </w:pPr>
      <w:r>
        <w:t xml:space="preserve">Deprecated configuration shall have:</w:t>
      </w:r>
    </w:p>
    <w:p>
      <w:pPr>
        <w:pStyle w:val="Compact"/>
        <w:numPr>
          <w:ilvl w:val="0"/>
          <w:numId w:val="1034"/>
        </w:numPr>
      </w:pPr>
      <w:r>
        <w:t xml:space="preserve">documented replacement</w:t>
      </w:r>
    </w:p>
    <w:p>
      <w:pPr>
        <w:pStyle w:val="Compact"/>
        <w:numPr>
          <w:ilvl w:val="0"/>
          <w:numId w:val="1034"/>
        </w:numPr>
      </w:pPr>
      <w:r>
        <w:t xml:space="preserve">defined removal plan</w:t>
      </w:r>
    </w:p>
    <w:p>
      <w:pPr>
        <w:pStyle w:val="FirstParagraph"/>
      </w:pPr>
      <w:r>
        <w:t xml:space="preserve">Configuration shall not become an archive of historical options.</w:t>
      </w:r>
    </w:p>
    <w:p>
      <w:r>
        <w:pict>
          <v:rect style="width:0;height:1.5pt" o:hralign="center" o:hrstd="t" o:hr="t"/>
        </w:pict>
      </w:r>
    </w:p>
    <w:bookmarkEnd w:id="48"/>
    <w:bookmarkStart w:id="49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Configuration behaviour requires automated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35"/>
        </w:numPr>
      </w:pPr>
      <w:r>
        <w:t xml:space="preserve">precedence</w:t>
      </w:r>
    </w:p>
    <w:p>
      <w:pPr>
        <w:pStyle w:val="Compact"/>
        <w:numPr>
          <w:ilvl w:val="0"/>
          <w:numId w:val="1035"/>
        </w:numPr>
      </w:pPr>
      <w:r>
        <w:t xml:space="preserve">profile selection</w:t>
      </w:r>
    </w:p>
    <w:p>
      <w:pPr>
        <w:pStyle w:val="Compact"/>
        <w:numPr>
          <w:ilvl w:val="0"/>
          <w:numId w:val="1035"/>
        </w:numPr>
      </w:pPr>
      <w:r>
        <w:t xml:space="preserve">typed parsing</w:t>
      </w:r>
    </w:p>
    <w:p>
      <w:pPr>
        <w:pStyle w:val="Compact"/>
        <w:numPr>
          <w:ilvl w:val="0"/>
          <w:numId w:val="1035"/>
        </w:numPr>
      </w:pPr>
      <w:r>
        <w:t xml:space="preserve">required values</w:t>
      </w:r>
    </w:p>
    <w:p>
      <w:pPr>
        <w:pStyle w:val="Compact"/>
        <w:numPr>
          <w:ilvl w:val="0"/>
          <w:numId w:val="1035"/>
        </w:numPr>
      </w:pPr>
      <w:r>
        <w:t xml:space="preserve">invalid values</w:t>
      </w:r>
    </w:p>
    <w:p>
      <w:pPr>
        <w:pStyle w:val="Compact"/>
        <w:numPr>
          <w:ilvl w:val="0"/>
          <w:numId w:val="1035"/>
        </w:numPr>
      </w:pPr>
      <w:r>
        <w:t xml:space="preserve">environment variable overrides</w:t>
      </w:r>
    </w:p>
    <w:p>
      <w:pPr>
        <w:pStyle w:val="Compact"/>
        <w:numPr>
          <w:ilvl w:val="0"/>
          <w:numId w:val="1035"/>
        </w:numPr>
      </w:pPr>
      <w:r>
        <w:t xml:space="preserve">command-line overrides</w:t>
      </w:r>
    </w:p>
    <w:p>
      <w:pPr>
        <w:pStyle w:val="Compact"/>
        <w:numPr>
          <w:ilvl w:val="0"/>
          <w:numId w:val="1035"/>
        </w:numPr>
      </w:pPr>
      <w:r>
        <w:t xml:space="preserve">PAPER and LIVE separation</w:t>
      </w:r>
    </w:p>
    <w:p>
      <w:pPr>
        <w:pStyle w:val="Compact"/>
        <w:numPr>
          <w:ilvl w:val="0"/>
          <w:numId w:val="1035"/>
        </w:numPr>
      </w:pPr>
      <w:r>
        <w:t xml:space="preserve">missing secrets</w:t>
      </w:r>
    </w:p>
    <w:p>
      <w:pPr>
        <w:pStyle w:val="Compact"/>
        <w:numPr>
          <w:ilvl w:val="0"/>
          <w:numId w:val="1035"/>
        </w:numPr>
      </w:pPr>
      <w:r>
        <w:t xml:space="preserve">secret redaction</w:t>
      </w:r>
    </w:p>
    <w:p>
      <w:pPr>
        <w:pStyle w:val="Compact"/>
        <w:numPr>
          <w:ilvl w:val="0"/>
          <w:numId w:val="1035"/>
        </w:numPr>
      </w:pPr>
      <w:r>
        <w:t xml:space="preserve">incompatible values</w:t>
      </w:r>
    </w:p>
    <w:p>
      <w:pPr>
        <w:pStyle w:val="Compact"/>
        <w:numPr>
          <w:ilvl w:val="0"/>
          <w:numId w:val="1035"/>
        </w:numPr>
      </w:pPr>
      <w:r>
        <w:t xml:space="preserve">fail-fast behaviour</w:t>
      </w:r>
    </w:p>
    <w:p>
      <w:pPr>
        <w:pStyle w:val="FirstParagraph"/>
      </w:pPr>
      <w:r>
        <w:t xml:space="preserve">Tests shall remain deterministic.</w:t>
      </w:r>
    </w:p>
    <w:p>
      <w:r>
        <w:pict>
          <v:rect style="width:0;height:1.5pt" o:hralign="center" o:hrstd="t" o:hr="t"/>
        </w:pict>
      </w:r>
    </w:p>
    <w:bookmarkEnd w:id="49"/>
    <w:bookmarkStart w:id="50" w:name="configuration-governance"/>
    <w:p>
      <w:pPr>
        <w:pStyle w:val="Heading1"/>
      </w:pPr>
      <w:r>
        <w:t xml:space="preserve">Configuration Governance</w:t>
      </w:r>
    </w:p>
    <w:p>
      <w:pPr>
        <w:pStyle w:val="FirstParagraph"/>
      </w:pPr>
      <w:r>
        <w:t xml:space="preserve">Configuration changes shall:</w:t>
      </w:r>
    </w:p>
    <w:p>
      <w:pPr>
        <w:pStyle w:val="Compact"/>
        <w:numPr>
          <w:ilvl w:val="0"/>
          <w:numId w:val="1036"/>
        </w:numPr>
      </w:pPr>
      <w:r>
        <w:t xml:space="preserve">support a defined technical or product requirement</w:t>
      </w:r>
    </w:p>
    <w:p>
      <w:pPr>
        <w:pStyle w:val="Compact"/>
        <w:numPr>
          <w:ilvl w:val="0"/>
          <w:numId w:val="1036"/>
        </w:numPr>
      </w:pPr>
      <w:r>
        <w:t xml:space="preserve">preserve deterministic precedence</w:t>
      </w:r>
    </w:p>
    <w:p>
      <w:pPr>
        <w:pStyle w:val="Compact"/>
        <w:numPr>
          <w:ilvl w:val="0"/>
          <w:numId w:val="1036"/>
        </w:numPr>
      </w:pPr>
      <w:r>
        <w:t xml:space="preserve">remain strongly typed</w:t>
      </w:r>
    </w:p>
    <w:p>
      <w:pPr>
        <w:pStyle w:val="Compact"/>
        <w:numPr>
          <w:ilvl w:val="0"/>
          <w:numId w:val="1036"/>
        </w:numPr>
      </w:pPr>
      <w:r>
        <w:t xml:space="preserve">remain validated</w:t>
      </w:r>
    </w:p>
    <w:p>
      <w:pPr>
        <w:pStyle w:val="Compact"/>
        <w:numPr>
          <w:ilvl w:val="0"/>
          <w:numId w:val="1036"/>
        </w:numPr>
      </w:pPr>
      <w:r>
        <w:t xml:space="preserve">evaluate PAPER and LIVE impact</w:t>
      </w:r>
    </w:p>
    <w:p>
      <w:pPr>
        <w:pStyle w:val="Compact"/>
        <w:numPr>
          <w:ilvl w:val="0"/>
          <w:numId w:val="1036"/>
        </w:numPr>
      </w:pPr>
      <w:r>
        <w:t xml:space="preserve">evaluate secret handling</w:t>
      </w:r>
    </w:p>
    <w:p>
      <w:pPr>
        <w:pStyle w:val="Compact"/>
        <w:numPr>
          <w:ilvl w:val="0"/>
          <w:numId w:val="1036"/>
        </w:numPr>
      </w:pPr>
      <w:r>
        <w:t xml:space="preserve">update automated tests</w:t>
      </w:r>
    </w:p>
    <w:p>
      <w:pPr>
        <w:pStyle w:val="Compact"/>
        <w:numPr>
          <w:ilvl w:val="0"/>
          <w:numId w:val="1036"/>
        </w:numPr>
      </w:pPr>
      <w:r>
        <w:t xml:space="preserve">update documentation</w:t>
      </w:r>
    </w:p>
    <w:p>
      <w:pPr>
        <w:pStyle w:val="FirstParagraph"/>
      </w:pPr>
      <w:r>
        <w:t xml:space="preserve">Configuration is part of the system architecture.</w:t>
      </w:r>
    </w:p>
    <w:p>
      <w:r>
        <w:pict>
          <v:rect style="width:0;height:1.5pt" o:hralign="center" o:hrstd="t" o:hr="t"/>
        </w:pict>
      </w:r>
    </w:p>
    <w:bookmarkEnd w:id="50"/>
    <w:bookmarkStart w:id="51" w:name="configuration-review-checklist"/>
    <w:p>
      <w:pPr>
        <w:pStyle w:val="Heading1"/>
      </w:pPr>
      <w:r>
        <w:t xml:space="preserve">Configuration Review Checklist</w:t>
      </w:r>
    </w:p>
    <w:p>
      <w:pPr>
        <w:pStyle w:val="FirstParagraph"/>
      </w:pPr>
      <w:r>
        <w:t xml:space="preserve">Before introducing or changing configuration verify:</w:t>
      </w:r>
    </w:p>
    <w:p>
      <w:pPr>
        <w:pStyle w:val="Compact"/>
        <w:numPr>
          <w:ilvl w:val="0"/>
          <w:numId w:val="1037"/>
        </w:numPr>
      </w:pPr>
      <w:r>
        <w:t xml:space="preserve">owning capability identified</w:t>
      </w:r>
    </w:p>
    <w:p>
      <w:pPr>
        <w:pStyle w:val="Compact"/>
        <w:numPr>
          <w:ilvl w:val="0"/>
          <w:numId w:val="1037"/>
        </w:numPr>
      </w:pPr>
      <w:r>
        <w:t xml:space="preserve">configuration requirement identified</w:t>
      </w:r>
    </w:p>
    <w:p>
      <w:pPr>
        <w:pStyle w:val="Compact"/>
        <w:numPr>
          <w:ilvl w:val="0"/>
          <w:numId w:val="1037"/>
        </w:numPr>
      </w:pPr>
      <w:r>
        <w:t xml:space="preserve">business rule not hidden in technical configuration</w:t>
      </w:r>
    </w:p>
    <w:p>
      <w:pPr>
        <w:pStyle w:val="Compact"/>
        <w:numPr>
          <w:ilvl w:val="0"/>
          <w:numId w:val="1037"/>
        </w:numPr>
      </w:pPr>
      <w:r>
        <w:t xml:space="preserve">source identified</w:t>
      </w:r>
    </w:p>
    <w:p>
      <w:pPr>
        <w:pStyle w:val="Compact"/>
        <w:numPr>
          <w:ilvl w:val="0"/>
          <w:numId w:val="1037"/>
        </w:numPr>
      </w:pPr>
      <w:r>
        <w:t xml:space="preserve">precedence defined</w:t>
      </w:r>
    </w:p>
    <w:p>
      <w:pPr>
        <w:pStyle w:val="Compact"/>
        <w:numPr>
          <w:ilvl w:val="0"/>
          <w:numId w:val="1037"/>
        </w:numPr>
      </w:pPr>
      <w:r>
        <w:t xml:space="preserve">type defined</w:t>
      </w:r>
    </w:p>
    <w:p>
      <w:pPr>
        <w:pStyle w:val="Compact"/>
        <w:numPr>
          <w:ilvl w:val="0"/>
          <w:numId w:val="1037"/>
        </w:numPr>
      </w:pPr>
      <w:r>
        <w:t xml:space="preserve">default behaviour defined</w:t>
      </w:r>
    </w:p>
    <w:p>
      <w:pPr>
        <w:pStyle w:val="Compact"/>
        <w:numPr>
          <w:ilvl w:val="0"/>
          <w:numId w:val="1037"/>
        </w:numPr>
      </w:pPr>
      <w:r>
        <w:t xml:space="preserve">validation defined</w:t>
      </w:r>
    </w:p>
    <w:p>
      <w:pPr>
        <w:pStyle w:val="Compact"/>
        <w:numPr>
          <w:ilvl w:val="0"/>
          <w:numId w:val="1037"/>
        </w:numPr>
      </w:pPr>
      <w:r>
        <w:t xml:space="preserve">immutability evaluated</w:t>
      </w:r>
    </w:p>
    <w:p>
      <w:pPr>
        <w:pStyle w:val="Compact"/>
        <w:numPr>
          <w:ilvl w:val="0"/>
          <w:numId w:val="1037"/>
        </w:numPr>
      </w:pPr>
      <w:r>
        <w:t xml:space="preserve">runtime mutability evaluated</w:t>
      </w:r>
    </w:p>
    <w:p>
      <w:pPr>
        <w:pStyle w:val="Compact"/>
        <w:numPr>
          <w:ilvl w:val="0"/>
          <w:numId w:val="1037"/>
        </w:numPr>
      </w:pPr>
      <w:r>
        <w:t xml:space="preserve">PAPER impact evaluated</w:t>
      </w:r>
    </w:p>
    <w:p>
      <w:pPr>
        <w:pStyle w:val="Compact"/>
        <w:numPr>
          <w:ilvl w:val="0"/>
          <w:numId w:val="1037"/>
        </w:numPr>
      </w:pPr>
      <w:r>
        <w:t xml:space="preserve">LIVE impact evaluated</w:t>
      </w:r>
    </w:p>
    <w:p>
      <w:pPr>
        <w:pStyle w:val="Compact"/>
        <w:numPr>
          <w:ilvl w:val="0"/>
          <w:numId w:val="1037"/>
        </w:numPr>
      </w:pPr>
      <w:r>
        <w:t xml:space="preserve">secret handling evaluated</w:t>
      </w:r>
    </w:p>
    <w:p>
      <w:pPr>
        <w:pStyle w:val="Compact"/>
        <w:numPr>
          <w:ilvl w:val="0"/>
          <w:numId w:val="1037"/>
        </w:numPr>
      </w:pPr>
      <w:r>
        <w:t xml:space="preserve">operational visibility evaluated</w:t>
      </w:r>
    </w:p>
    <w:p>
      <w:pPr>
        <w:pStyle w:val="Compact"/>
        <w:numPr>
          <w:ilvl w:val="0"/>
          <w:numId w:val="1037"/>
        </w:numPr>
      </w:pPr>
      <w:r>
        <w:t xml:space="preserve">automated tests added</w:t>
      </w:r>
    </w:p>
    <w:p>
      <w:pPr>
        <w:pStyle w:val="Compact"/>
        <w:numPr>
          <w:ilvl w:val="0"/>
          <w:numId w:val="1037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51"/>
    <w:bookmarkStart w:id="5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8"/>
        </w:numPr>
      </w:pPr>
      <w:r>
        <w:t xml:space="preserve">Product_Vision.md</w:t>
      </w:r>
    </w:p>
    <w:p>
      <w:pPr>
        <w:pStyle w:val="Compact"/>
        <w:numPr>
          <w:ilvl w:val="0"/>
          <w:numId w:val="1038"/>
        </w:numPr>
      </w:pPr>
      <w:r>
        <w:t xml:space="preserve">Product_Roadmap.md</w:t>
      </w:r>
    </w:p>
    <w:p>
      <w:pPr>
        <w:pStyle w:val="Compact"/>
        <w:numPr>
          <w:ilvl w:val="0"/>
          <w:numId w:val="1038"/>
        </w:numPr>
      </w:pPr>
      <w:r>
        <w:t xml:space="preserve">Project_Overview.md</w:t>
      </w:r>
    </w:p>
    <w:p>
      <w:pPr>
        <w:pStyle w:val="Compact"/>
        <w:numPr>
          <w:ilvl w:val="0"/>
          <w:numId w:val="1038"/>
        </w:numPr>
      </w:pPr>
      <w:r>
        <w:t xml:space="preserve">Architecture.md</w:t>
      </w:r>
    </w:p>
    <w:p>
      <w:pPr>
        <w:pStyle w:val="Compact"/>
        <w:numPr>
          <w:ilvl w:val="0"/>
          <w:numId w:val="1038"/>
        </w:numPr>
      </w:pPr>
      <w:r>
        <w:t xml:space="preserve">Infrastructure.md</w:t>
      </w:r>
    </w:p>
    <w:p>
      <w:pPr>
        <w:pStyle w:val="Compact"/>
        <w:numPr>
          <w:ilvl w:val="0"/>
          <w:numId w:val="1038"/>
        </w:numPr>
      </w:pPr>
      <w:r>
        <w:t xml:space="preserve">Technical_Specifications.md</w:t>
      </w:r>
    </w:p>
    <w:p>
      <w:pPr>
        <w:pStyle w:val="Compact"/>
        <w:numPr>
          <w:ilvl w:val="0"/>
          <w:numId w:val="1038"/>
        </w:numPr>
      </w:pPr>
      <w:r>
        <w:t xml:space="preserve">API_Guidelines.md</w:t>
      </w:r>
    </w:p>
    <w:p>
      <w:pPr>
        <w:pStyle w:val="Compact"/>
        <w:numPr>
          <w:ilvl w:val="0"/>
          <w:numId w:val="1038"/>
        </w:numPr>
      </w:pPr>
      <w:r>
        <w:t xml:space="preserve">Runtime.md</w:t>
      </w:r>
    </w:p>
    <w:p>
      <w:pPr>
        <w:pStyle w:val="Compact"/>
        <w:numPr>
          <w:ilvl w:val="0"/>
          <w:numId w:val="1038"/>
        </w:numPr>
      </w:pPr>
      <w:r>
        <w:t xml:space="preserve">Logging.md</w:t>
      </w:r>
    </w:p>
    <w:p>
      <w:pPr>
        <w:pStyle w:val="Compact"/>
        <w:numPr>
          <w:ilvl w:val="0"/>
          <w:numId w:val="1038"/>
        </w:numPr>
      </w:pPr>
      <w:r>
        <w:t xml:space="preserve">Monitoring.md</w:t>
      </w:r>
    </w:p>
    <w:p>
      <w:pPr>
        <w:pStyle w:val="Compact"/>
        <w:numPr>
          <w:ilvl w:val="0"/>
          <w:numId w:val="1038"/>
        </w:numPr>
      </w:pPr>
      <w:r>
        <w:t xml:space="preserve">Security.md</w:t>
      </w:r>
    </w:p>
    <w:p>
      <w:pPr>
        <w:pStyle w:val="Compact"/>
        <w:numPr>
          <w:ilvl w:val="0"/>
          <w:numId w:val="1038"/>
        </w:numPr>
      </w:pPr>
      <w:r>
        <w:t xml:space="preserve">Testing_Strategy.md</w:t>
      </w:r>
    </w:p>
    <w:p>
      <w:pPr>
        <w:pStyle w:val="Compact"/>
        <w:numPr>
          <w:ilvl w:val="0"/>
          <w:numId w:val="1038"/>
        </w:numPr>
      </w:pPr>
      <w:r>
        <w:t xml:space="preserve">AGENTS.md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2026-07-06T17:14:01Z</dcterms:created>
  <dcterms:modified xsi:type="dcterms:W3CDTF">2026-07-06T17:14:01Z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