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pi-guidelines"/>
    <w:p>
      <w:pPr>
        <w:pStyle w:val="Heading1"/>
      </w:pPr>
      <w:r>
        <w:t xml:space="preserve">API Guidelines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design principles for all internal and external APIs of Trading Platform Pro.</w:t>
      </w:r>
    </w:p>
    <w:p>
      <w:pPr>
        <w:pStyle w:val="BodyText"/>
      </w:pPr>
      <w:r>
        <w:t xml:space="preserve">The objective is to provide APIs that are consistent, maintainable, extensible and easy to use.</w:t>
      </w:r>
    </w:p>
    <w:p>
      <w:r>
        <w:pict>
          <v:rect style="width:0;height:1.5pt" o:hralign="center" o:hrstd="t" o:hr="t"/>
        </w:pict>
      </w:r>
    </w:p>
    <w:bookmarkEnd w:id="10"/>
    <w:bookmarkStart w:id="11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These guidelines apply to:</w:t>
      </w:r>
    </w:p>
    <w:p>
      <w:pPr>
        <w:pStyle w:val="Compact"/>
        <w:numPr>
          <w:ilvl w:val="0"/>
          <w:numId w:val="1001"/>
        </w:numPr>
      </w:pPr>
      <w:r>
        <w:t xml:space="preserve">Internal Python APIs</w:t>
      </w:r>
    </w:p>
    <w:p>
      <w:pPr>
        <w:pStyle w:val="Compact"/>
        <w:numPr>
          <w:ilvl w:val="0"/>
          <w:numId w:val="1001"/>
        </w:numPr>
      </w:pPr>
      <w:r>
        <w:t xml:space="preserve">Service Interfaces</w:t>
      </w:r>
    </w:p>
    <w:p>
      <w:pPr>
        <w:pStyle w:val="Compact"/>
        <w:numPr>
          <w:ilvl w:val="0"/>
          <w:numId w:val="1001"/>
        </w:numPr>
      </w:pPr>
      <w:r>
        <w:t xml:space="preserve">Repository Interfaces</w:t>
      </w:r>
    </w:p>
    <w:p>
      <w:pPr>
        <w:pStyle w:val="Compact"/>
        <w:numPr>
          <w:ilvl w:val="0"/>
          <w:numId w:val="1001"/>
        </w:numPr>
      </w:pPr>
      <w:r>
        <w:t xml:space="preserve">Plugin APIs</w:t>
      </w:r>
    </w:p>
    <w:p>
      <w:pPr>
        <w:pStyle w:val="Compact"/>
        <w:numPr>
          <w:ilvl w:val="0"/>
          <w:numId w:val="1001"/>
        </w:numPr>
      </w:pPr>
      <w:r>
        <w:t xml:space="preserve">Future REST APIs</w:t>
      </w:r>
    </w:p>
    <w:p>
      <w:pPr>
        <w:pStyle w:val="Compact"/>
        <w:numPr>
          <w:ilvl w:val="0"/>
          <w:numId w:val="1001"/>
        </w:numPr>
      </w:pPr>
      <w:r>
        <w:t xml:space="preserve">Future WebSocket APIs</w:t>
      </w:r>
    </w:p>
    <w:p>
      <w:r>
        <w:pict>
          <v:rect style="width:0;height:1.5pt" o:hralign="center" o:hrstd="t" o:hr="t"/>
        </w:pict>
      </w:r>
    </w:p>
    <w:bookmarkEnd w:id="11"/>
    <w:bookmarkStart w:id="12" w:name="api-design-principles"/>
    <w:p>
      <w:pPr>
        <w:pStyle w:val="Heading1"/>
      </w:pPr>
      <w:r>
        <w:t xml:space="preserve">API Design Principles</w:t>
      </w:r>
    </w:p>
    <w:p>
      <w:pPr>
        <w:pStyle w:val="FirstParagraph"/>
      </w:pPr>
      <w:r>
        <w:t xml:space="preserve">Every API should be:</w:t>
      </w:r>
    </w:p>
    <w:p>
      <w:pPr>
        <w:pStyle w:val="Compact"/>
        <w:numPr>
          <w:ilvl w:val="0"/>
          <w:numId w:val="1002"/>
        </w:numPr>
      </w:pPr>
      <w:r>
        <w:t xml:space="preserve">simple</w:t>
      </w:r>
    </w:p>
    <w:p>
      <w:pPr>
        <w:pStyle w:val="Compact"/>
        <w:numPr>
          <w:ilvl w:val="0"/>
          <w:numId w:val="1002"/>
        </w:numPr>
      </w:pPr>
      <w:r>
        <w:t xml:space="preserve">explicit</w:t>
      </w:r>
    </w:p>
    <w:p>
      <w:pPr>
        <w:pStyle w:val="Compact"/>
        <w:numPr>
          <w:ilvl w:val="0"/>
          <w:numId w:val="1002"/>
        </w:numPr>
      </w:pPr>
      <w:r>
        <w:t xml:space="preserve">predictable</w:t>
      </w:r>
    </w:p>
    <w:p>
      <w:pPr>
        <w:pStyle w:val="Compact"/>
        <w:numPr>
          <w:ilvl w:val="0"/>
          <w:numId w:val="1002"/>
        </w:numPr>
      </w:pPr>
      <w:r>
        <w:t xml:space="preserve">strongly typed</w:t>
      </w:r>
    </w:p>
    <w:p>
      <w:pPr>
        <w:pStyle w:val="Compact"/>
        <w:numPr>
          <w:ilvl w:val="0"/>
          <w:numId w:val="1002"/>
        </w:numPr>
      </w:pPr>
      <w:r>
        <w:t xml:space="preserve">well documented</w:t>
      </w:r>
    </w:p>
    <w:p>
      <w:pPr>
        <w:pStyle w:val="Compact"/>
        <w:numPr>
          <w:ilvl w:val="0"/>
          <w:numId w:val="1002"/>
        </w:numPr>
      </w:pPr>
      <w:r>
        <w:t xml:space="preserve">backwards compatible whenever practical</w:t>
      </w:r>
    </w:p>
    <w:p>
      <w:r>
        <w:pict>
          <v:rect style="width:0;height:1.5pt" o:hralign="center" o:hrstd="t" o:hr="t"/>
        </w:pict>
      </w:r>
    </w:p>
    <w:bookmarkEnd w:id="12"/>
    <w:bookmarkStart w:id="13" w:name="naming"/>
    <w:p>
      <w:pPr>
        <w:pStyle w:val="Heading1"/>
      </w:pPr>
      <w:r>
        <w:t xml:space="preserve">Naming</w:t>
      </w:r>
    </w:p>
    <w:p>
      <w:pPr>
        <w:pStyle w:val="FirstParagraph"/>
      </w:pPr>
      <w:r>
        <w:t xml:space="preserve">Classes</w:t>
      </w:r>
    </w:p>
    <w:p>
      <w:pPr>
        <w:pStyle w:val="SourceCode"/>
      </w:pPr>
      <w:r>
        <w:rPr>
          <w:rStyle w:val="VerbatimChar"/>
        </w:rPr>
        <w:t xml:space="preserve">OrderService</w:t>
      </w:r>
    </w:p>
    <w:p>
      <w:pPr>
        <w:pStyle w:val="FirstParagraph"/>
      </w:pPr>
      <w:r>
        <w:t xml:space="preserve">Interfaces</w:t>
      </w:r>
    </w:p>
    <w:p>
      <w:pPr>
        <w:pStyle w:val="SourceCode"/>
      </w:pPr>
      <w:r>
        <w:rPr>
          <w:rStyle w:val="VerbatimChar"/>
        </w:rPr>
        <w:t xml:space="preserve">OrderRepository</w:t>
      </w:r>
    </w:p>
    <w:p>
      <w:pPr>
        <w:pStyle w:val="FirstParagraph"/>
      </w:pPr>
      <w:r>
        <w:t xml:space="preserve">Methods</w:t>
      </w:r>
    </w:p>
    <w:p>
      <w:pPr>
        <w:pStyle w:val="SourceCode"/>
      </w:pPr>
      <w:r>
        <w:rPr>
          <w:rStyle w:val="VerbatimChar"/>
        </w:rPr>
        <w:t xml:space="preserve">load_order()</w:t>
      </w:r>
      <w:r>
        <w:br/>
      </w:r>
      <w:r>
        <w:rPr>
          <w:rStyle w:val="VerbatimChar"/>
        </w:rPr>
        <w:t xml:space="preserve">create_position()</w:t>
      </w:r>
      <w:r>
        <w:br/>
      </w:r>
      <w:r>
        <w:rPr>
          <w:rStyle w:val="VerbatimChar"/>
        </w:rPr>
        <w:t xml:space="preserve">calculate_risk()</w:t>
      </w:r>
    </w:p>
    <w:p>
      <w:pPr>
        <w:pStyle w:val="FirstParagraph"/>
      </w:pPr>
      <w:r>
        <w:t xml:space="preserve">Avoid abbreviations.</w:t>
      </w:r>
    </w:p>
    <w:p>
      <w:r>
        <w:pict>
          <v:rect style="width:0;height:1.5pt" o:hralign="center" o:hrstd="t" o:hr="t"/>
        </w:pict>
      </w:r>
    </w:p>
    <w:bookmarkEnd w:id="13"/>
    <w:bookmarkStart w:id="14" w:name="parameters"/>
    <w:p>
      <w:pPr>
        <w:pStyle w:val="Heading1"/>
      </w:pPr>
      <w:r>
        <w:t xml:space="preserve">Parameters</w:t>
      </w:r>
    </w:p>
    <w:p>
      <w:pPr>
        <w:pStyle w:val="FirstParagraph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create_order(order: Order) -&gt; OrderId</w:t>
      </w:r>
    </w:p>
    <w:p>
      <w:pPr>
        <w:pStyle w:val="FirstParagraph"/>
      </w:pPr>
      <w:r>
        <w:t xml:space="preserve">Avoid long parameter lists.</w:t>
      </w:r>
    </w:p>
    <w:p>
      <w:pPr>
        <w:pStyle w:val="BodyText"/>
      </w:pPr>
      <w:r>
        <w:t xml:space="preserve">Use Value Objects or DTOs where appropriate.</w:t>
      </w:r>
    </w:p>
    <w:p>
      <w:r>
        <w:pict>
          <v:rect style="width:0;height:1.5pt" o:hralign="center" o:hrstd="t" o:hr="t"/>
        </w:pict>
      </w:r>
    </w:p>
    <w:bookmarkEnd w:id="14"/>
    <w:bookmarkStart w:id="15" w:name="return-values"/>
    <w:p>
      <w:pPr>
        <w:pStyle w:val="Heading1"/>
      </w:pPr>
      <w:r>
        <w:t xml:space="preserve">Return Values</w:t>
      </w:r>
    </w:p>
    <w:p>
      <w:pPr>
        <w:pStyle w:val="FirstParagraph"/>
      </w:pPr>
      <w:r>
        <w:t xml:space="preserve">Return meaningful objects.</w:t>
      </w:r>
    </w:p>
    <w:p>
      <w:pPr>
        <w:pStyle w:val="BodyText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None</w:t>
      </w:r>
    </w:p>
    <w:p>
      <w:pPr>
        <w:pStyle w:val="FirstParagraph"/>
      </w:pPr>
      <w:r>
        <w:t xml:space="preserve">when richer domain information is available.</w:t>
      </w:r>
    </w:p>
    <w:p>
      <w:r>
        <w:pict>
          <v:rect style="width:0;height:1.5pt" o:hralign="center" o:hrstd="t" o:hr="t"/>
        </w:pict>
      </w:r>
    </w:p>
    <w:bookmarkEnd w:id="15"/>
    <w:bookmarkStart w:id="16" w:name="exceptions"/>
    <w:p>
      <w:pPr>
        <w:pStyle w:val="Heading1"/>
      </w:pPr>
      <w:r>
        <w:t xml:space="preserve">Exceptions</w:t>
      </w:r>
    </w:p>
    <w:p>
      <w:pPr>
        <w:pStyle w:val="FirstParagraph"/>
      </w:pPr>
      <w:r>
        <w:t xml:space="preserve">APIs should:</w:t>
      </w:r>
    </w:p>
    <w:p>
      <w:pPr>
        <w:pStyle w:val="Compact"/>
        <w:numPr>
          <w:ilvl w:val="0"/>
          <w:numId w:val="1003"/>
        </w:numPr>
      </w:pPr>
      <w:r>
        <w:t xml:space="preserve">fail explicitly</w:t>
      </w:r>
    </w:p>
    <w:p>
      <w:pPr>
        <w:pStyle w:val="Compact"/>
        <w:numPr>
          <w:ilvl w:val="0"/>
          <w:numId w:val="1003"/>
        </w:numPr>
      </w:pPr>
      <w:r>
        <w:t xml:space="preserve">provide meaningful exceptions</w:t>
      </w:r>
    </w:p>
    <w:p>
      <w:pPr>
        <w:pStyle w:val="Compact"/>
        <w:numPr>
          <w:ilvl w:val="0"/>
          <w:numId w:val="1003"/>
        </w:numPr>
      </w:pPr>
      <w:r>
        <w:t xml:space="preserve">avoid silent failures</w:t>
      </w:r>
    </w:p>
    <w:p>
      <w:pPr>
        <w:pStyle w:val="FirstParagraph"/>
      </w:pPr>
      <w:r>
        <w:t xml:space="preserve">Document expected exceptions.</w:t>
      </w:r>
    </w:p>
    <w:p>
      <w:r>
        <w:pict>
          <v:rect style="width:0;height:1.5pt" o:hralign="center" o:hrstd="t" o:hr="t"/>
        </w:pict>
      </w:r>
    </w:p>
    <w:bookmarkEnd w:id="16"/>
    <w:bookmarkStart w:id="17" w:name="versioning"/>
    <w:p>
      <w:pPr>
        <w:pStyle w:val="Heading1"/>
      </w:pPr>
      <w:r>
        <w:t xml:space="preserve">Versioning</w:t>
      </w:r>
    </w:p>
    <w:p>
      <w:pPr>
        <w:pStyle w:val="FirstParagraph"/>
      </w:pPr>
      <w:r>
        <w:t xml:space="preserve">Public APIs should evolve carefully.</w:t>
      </w:r>
    </w:p>
    <w:p>
      <w:pPr>
        <w:pStyle w:val="BodyText"/>
      </w:pPr>
      <w:r>
        <w:t xml:space="preserve">Breaking changes require:</w:t>
      </w:r>
    </w:p>
    <w:p>
      <w:pPr>
        <w:pStyle w:val="Compact"/>
        <w:numPr>
          <w:ilvl w:val="0"/>
          <w:numId w:val="1004"/>
        </w:numPr>
      </w:pPr>
      <w:r>
        <w:t xml:space="preserve">documentation updates</w:t>
      </w:r>
    </w:p>
    <w:p>
      <w:pPr>
        <w:pStyle w:val="Compact"/>
        <w:numPr>
          <w:ilvl w:val="0"/>
          <w:numId w:val="1004"/>
        </w:numPr>
      </w:pPr>
      <w:r>
        <w:t xml:space="preserve">migration guidance</w:t>
      </w:r>
    </w:p>
    <w:p>
      <w:pPr>
        <w:pStyle w:val="Compact"/>
        <w:numPr>
          <w:ilvl w:val="0"/>
          <w:numId w:val="1004"/>
        </w:numPr>
      </w:pPr>
      <w:r>
        <w:t xml:space="preserve">version increment</w:t>
      </w:r>
    </w:p>
    <w:p>
      <w:r>
        <w:pict>
          <v:rect style="width:0;height:1.5pt" o:hralign="center" o:hrstd="t" o:hr="t"/>
        </w:pict>
      </w:r>
    </w:p>
    <w:bookmarkEnd w:id="17"/>
    <w:bookmarkStart w:id="18" w:name="dependency-rules"/>
    <w:p>
      <w:pPr>
        <w:pStyle w:val="Heading1"/>
      </w:pPr>
      <w:r>
        <w:t xml:space="preserve">Dependency Rules</w:t>
      </w:r>
    </w:p>
    <w:p>
      <w:pPr>
        <w:pStyle w:val="FirstParagraph"/>
      </w:pPr>
      <w:r>
        <w:t xml:space="preserve">APIs should expose abstractions rather than implementations.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OrderRepository</w:t>
      </w:r>
    </w:p>
    <w:p>
      <w:pPr>
        <w:pStyle w:val="FirstParagraph"/>
      </w:pPr>
      <w:r>
        <w:t xml:space="preserve">instead of</w:t>
      </w:r>
    </w:p>
    <w:p>
      <w:pPr>
        <w:pStyle w:val="SourceCode"/>
      </w:pPr>
      <w:r>
        <w:rPr>
          <w:rStyle w:val="VerbatimChar"/>
        </w:rPr>
        <w:t xml:space="preserve">SQLiteOrderRepository</w:t>
      </w:r>
    </w:p>
    <w:p>
      <w:r>
        <w:pict>
          <v:rect style="width:0;height:1.5pt" o:hralign="center" o:hrstd="t" o:hr="t"/>
        </w:pict>
      </w:r>
    </w:p>
    <w:bookmarkEnd w:id="18"/>
    <w:bookmarkStart w:id="19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Every public API should document:</w:t>
      </w:r>
    </w:p>
    <w:p>
      <w:pPr>
        <w:pStyle w:val="Compact"/>
        <w:numPr>
          <w:ilvl w:val="0"/>
          <w:numId w:val="1005"/>
        </w:numPr>
      </w:pPr>
      <w:r>
        <w:t xml:space="preserve">purpose</w:t>
      </w:r>
    </w:p>
    <w:p>
      <w:pPr>
        <w:pStyle w:val="Compact"/>
        <w:numPr>
          <w:ilvl w:val="0"/>
          <w:numId w:val="1005"/>
        </w:numPr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return value</w:t>
      </w:r>
    </w:p>
    <w:p>
      <w:pPr>
        <w:pStyle w:val="Compact"/>
        <w:numPr>
          <w:ilvl w:val="0"/>
          <w:numId w:val="1005"/>
        </w:numPr>
      </w:pPr>
      <w:r>
        <w:t xml:space="preserve">exceptions</w:t>
      </w:r>
    </w:p>
    <w:p>
      <w:pPr>
        <w:pStyle w:val="Compact"/>
        <w:numPr>
          <w:ilvl w:val="0"/>
          <w:numId w:val="1005"/>
        </w:numPr>
      </w:pPr>
      <w:r>
        <w:t xml:space="preserve">usage examples (where useful)</w:t>
      </w:r>
    </w:p>
    <w:p>
      <w:r>
        <w:pict>
          <v:rect style="width:0;height:1.5pt" o:hralign="center" o:hrstd="t" o:hr="t"/>
        </w:pict>
      </w:r>
    </w:p>
    <w:bookmarkEnd w:id="19"/>
    <w:bookmarkStart w:id="20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Public APIs require automated tests.</w:t>
      </w:r>
    </w:p>
    <w:p>
      <w:pPr>
        <w:pStyle w:val="BodyText"/>
      </w:pPr>
      <w:r>
        <w:t xml:space="preserve">Tests should verify:</w:t>
      </w:r>
    </w:p>
    <w:p>
      <w:pPr>
        <w:pStyle w:val="Compact"/>
        <w:numPr>
          <w:ilvl w:val="0"/>
          <w:numId w:val="1006"/>
        </w:numPr>
      </w:pPr>
      <w:r>
        <w:t xml:space="preserve">expected behaviour</w:t>
      </w:r>
    </w:p>
    <w:p>
      <w:pPr>
        <w:pStyle w:val="Compact"/>
        <w:numPr>
          <w:ilvl w:val="0"/>
          <w:numId w:val="1006"/>
        </w:numPr>
      </w:pPr>
      <w:r>
        <w:t xml:space="preserve">edge cases</w:t>
      </w:r>
    </w:p>
    <w:p>
      <w:pPr>
        <w:pStyle w:val="Compact"/>
        <w:numPr>
          <w:ilvl w:val="0"/>
          <w:numId w:val="1006"/>
        </w:numPr>
      </w:pPr>
      <w:r>
        <w:t xml:space="preserve">invalid input</w:t>
      </w:r>
    </w:p>
    <w:p>
      <w:pPr>
        <w:pStyle w:val="Compact"/>
        <w:numPr>
          <w:ilvl w:val="0"/>
          <w:numId w:val="1006"/>
        </w:numPr>
      </w:pPr>
      <w:r>
        <w:t xml:space="preserve">error handling</w:t>
      </w:r>
    </w:p>
    <w:p>
      <w:r>
        <w:pict>
          <v:rect style="width:0;height:1.5pt" o:hralign="center" o:hrstd="t" o:hr="t"/>
        </w:pict>
      </w:r>
    </w:p>
    <w:bookmarkEnd w:id="20"/>
    <w:bookmarkStart w:id="21" w:name="api-security"/>
    <w:p>
      <w:pPr>
        <w:pStyle w:val="Heading1"/>
      </w:pPr>
      <w:r>
        <w:t xml:space="preserve">API Security</w:t>
      </w:r>
    </w:p>
    <w:p>
      <w:pPr>
        <w:pStyle w:val="FirstParagraph"/>
      </w:pPr>
      <w:r>
        <w:t xml:space="preserve">APIs shall:</w:t>
      </w:r>
    </w:p>
    <w:p>
      <w:pPr>
        <w:pStyle w:val="Compact"/>
        <w:numPr>
          <w:ilvl w:val="0"/>
          <w:numId w:val="1007"/>
        </w:numPr>
      </w:pPr>
      <w:r>
        <w:t xml:space="preserve">validate all input</w:t>
      </w:r>
    </w:p>
    <w:p>
      <w:pPr>
        <w:pStyle w:val="Compact"/>
        <w:numPr>
          <w:ilvl w:val="0"/>
          <w:numId w:val="1007"/>
        </w:numPr>
      </w:pPr>
      <w:r>
        <w:t xml:space="preserve">reject invalid requests explicitly</w:t>
      </w:r>
    </w:p>
    <w:p>
      <w:pPr>
        <w:pStyle w:val="Compact"/>
        <w:numPr>
          <w:ilvl w:val="0"/>
          <w:numId w:val="1007"/>
        </w:numPr>
      </w:pPr>
      <w:r>
        <w:t xml:space="preserve">never expose sensitive information</w:t>
      </w:r>
    </w:p>
    <w:p>
      <w:pPr>
        <w:pStyle w:val="Compact"/>
        <w:numPr>
          <w:ilvl w:val="0"/>
          <w:numId w:val="1007"/>
        </w:numPr>
      </w:pPr>
      <w:r>
        <w:t xml:space="preserve">use least-privilege principles</w:t>
      </w:r>
    </w:p>
    <w:p>
      <w:pPr>
        <w:pStyle w:val="FirstParagraph"/>
      </w:pPr>
      <w:r>
        <w:t xml:space="preserve">Security requirements apply to internal and external APIs.</w:t>
      </w:r>
    </w:p>
    <w:p>
      <w:r>
        <w:pict>
          <v:rect style="width:0;height:1.5pt" o:hralign="center" o:hrstd="t" o:hr="t"/>
        </w:pict>
      </w:r>
    </w:p>
    <w:bookmarkEnd w:id="21"/>
    <w:bookmarkStart w:id="22" w:name="api-review-checklist"/>
    <w:p>
      <w:pPr>
        <w:pStyle w:val="Heading1"/>
      </w:pPr>
      <w:r>
        <w:t xml:space="preserve">API Review Checklist</w:t>
      </w:r>
    </w:p>
    <w:p>
      <w:pPr>
        <w:pStyle w:val="FirstParagraph"/>
      </w:pPr>
      <w:r>
        <w:t xml:space="preserve">Before introducing or changing an API verify:</w:t>
      </w:r>
    </w:p>
    <w:p>
      <w:pPr>
        <w:pStyle w:val="Compact"/>
        <w:numPr>
          <w:ilvl w:val="0"/>
          <w:numId w:val="1008"/>
        </w:numPr>
      </w:pPr>
      <w:r>
        <w:t xml:space="preserve">interface remains minimal</w:t>
      </w:r>
    </w:p>
    <w:p>
      <w:pPr>
        <w:pStyle w:val="Compact"/>
        <w:numPr>
          <w:ilvl w:val="0"/>
          <w:numId w:val="1008"/>
        </w:numPr>
      </w:pPr>
      <w:r>
        <w:t xml:space="preserve">naming is consistent</w:t>
      </w:r>
    </w:p>
    <w:p>
      <w:pPr>
        <w:pStyle w:val="Compact"/>
        <w:numPr>
          <w:ilvl w:val="0"/>
          <w:numId w:val="1008"/>
        </w:numPr>
      </w:pPr>
      <w:r>
        <w:t xml:space="preserve">backward compatibility considered</w:t>
      </w:r>
    </w:p>
    <w:p>
      <w:pPr>
        <w:pStyle w:val="Compact"/>
        <w:numPr>
          <w:ilvl w:val="0"/>
          <w:numId w:val="1008"/>
        </w:numPr>
      </w:pPr>
      <w:r>
        <w:t xml:space="preserve">documentation updated</w:t>
      </w:r>
    </w:p>
    <w:p>
      <w:pPr>
        <w:pStyle w:val="Compact"/>
        <w:numPr>
          <w:ilvl w:val="0"/>
          <w:numId w:val="1008"/>
        </w:numPr>
      </w:pPr>
      <w:r>
        <w:t xml:space="preserve">automated tests added</w:t>
      </w:r>
    </w:p>
    <w:p>
      <w:pPr>
        <w:pStyle w:val="Compact"/>
        <w:numPr>
          <w:ilvl w:val="0"/>
          <w:numId w:val="1008"/>
        </w:numPr>
      </w:pPr>
      <w:r>
        <w:t xml:space="preserve">architecture preserved</w:t>
      </w:r>
    </w:p>
    <w:p>
      <w:r>
        <w:pict>
          <v:rect style="width:0;height:1.5pt" o:hralign="center" o:hrstd="t" o:hr="t"/>
        </w:pict>
      </w:r>
    </w:p>
    <w:bookmarkEnd w:id="22"/>
    <w:bookmarkStart w:id="23" w:name="future-api-evolution"/>
    <w:p>
      <w:pPr>
        <w:pStyle w:val="Heading1"/>
      </w:pPr>
      <w:r>
        <w:t xml:space="preserve">Future API Evolution</w:t>
      </w:r>
    </w:p>
    <w:p>
      <w:pPr>
        <w:pStyle w:val="FirstParagraph"/>
      </w:pPr>
      <w:r>
        <w:t xml:space="preserve">Future APIs should remain consistent across:</w:t>
      </w:r>
    </w:p>
    <w:p>
      <w:pPr>
        <w:pStyle w:val="Compact"/>
        <w:numPr>
          <w:ilvl w:val="0"/>
          <w:numId w:val="1009"/>
        </w:numPr>
      </w:pPr>
      <w:r>
        <w:t xml:space="preserve">Python interfaces</w:t>
      </w:r>
    </w:p>
    <w:p>
      <w:pPr>
        <w:pStyle w:val="Compact"/>
        <w:numPr>
          <w:ilvl w:val="0"/>
          <w:numId w:val="1009"/>
        </w:numPr>
      </w:pPr>
      <w:r>
        <w:t xml:space="preserve">Plugin interfaces</w:t>
      </w:r>
    </w:p>
    <w:p>
      <w:pPr>
        <w:pStyle w:val="Compact"/>
        <w:numPr>
          <w:ilvl w:val="0"/>
          <w:numId w:val="1009"/>
        </w:numPr>
      </w:pPr>
      <w:r>
        <w:t xml:space="preserve">REST APIs</w:t>
      </w:r>
    </w:p>
    <w:p>
      <w:pPr>
        <w:pStyle w:val="Compact"/>
        <w:numPr>
          <w:ilvl w:val="0"/>
          <w:numId w:val="1009"/>
        </w:numPr>
      </w:pPr>
      <w:r>
        <w:t xml:space="preserve">WebSocket APIs</w:t>
      </w:r>
    </w:p>
    <w:p>
      <w:pPr>
        <w:pStyle w:val="FirstParagraph"/>
      </w:pPr>
      <w:r>
        <w:t xml:space="preserve">Reuse existing domain models and avoid duplicate contracts.</w:t>
      </w:r>
    </w:p>
    <w:p>
      <w:r>
        <w:pict>
          <v:rect style="width:0;height:1.5pt" o:hralign="center" o:hrstd="t" o:hr="t"/>
        </w:pict>
      </w:r>
    </w:p>
    <w:bookmarkEnd w:id="23"/>
    <w:bookmarkStart w:id="24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0"/>
        </w:numPr>
      </w:pPr>
      <w:r>
        <w:t xml:space="preserve">Architecture.md</w:t>
      </w:r>
    </w:p>
    <w:p>
      <w:pPr>
        <w:pStyle w:val="Compact"/>
        <w:numPr>
          <w:ilvl w:val="0"/>
          <w:numId w:val="1010"/>
        </w:numPr>
      </w:pPr>
      <w:r>
        <w:t xml:space="preserve">Coding_Standards.md</w:t>
      </w:r>
    </w:p>
    <w:p>
      <w:pPr>
        <w:pStyle w:val="Compact"/>
        <w:numPr>
          <w:ilvl w:val="0"/>
          <w:numId w:val="1010"/>
        </w:numPr>
      </w:pPr>
      <w:r>
        <w:t xml:space="preserve">Development_Guidelines.md</w:t>
      </w:r>
    </w:p>
    <w:p>
      <w:pPr>
        <w:pStyle w:val="Compact"/>
        <w:numPr>
          <w:ilvl w:val="0"/>
          <w:numId w:val="1010"/>
        </w:numPr>
      </w:pPr>
      <w:r>
        <w:t xml:space="preserve">AGENTS.md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2026-07-03T13:04:00Z</dcterms:created>
  <dcterms:modified xsi:type="dcterms:W3CDTF">2026-07-03T13:04:00Z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