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figuration"/>
    <w:p>
      <w:pPr>
        <w:pStyle w:val="Heading1"/>
      </w:pPr>
      <w:r>
        <w:t xml:space="preserve">Configuration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configuration architecture of Trading Platform Pro.</w:t>
      </w:r>
    </w:p>
    <w:p>
      <w:pPr>
        <w:pStyle w:val="BodyText"/>
      </w:pPr>
      <w:r>
        <w:t xml:space="preserve">The configuration system provides a centralized, predictable and environment-aware mechanism for managing application settings while keeping configuration separate from application logic.</w:t>
      </w:r>
    </w:p>
    <w:p>
      <w:r>
        <w:pict>
          <v:rect style="width:0;height:1.5pt" o:hralign="center" o:hrstd="t" o:hr="t"/>
        </w:pict>
      </w:r>
    </w:p>
    <w:bookmarkEnd w:id="10"/>
    <w:bookmarkStart w:id="11" w:name="objectives"/>
    <w:p>
      <w:pPr>
        <w:pStyle w:val="Heading1"/>
      </w:pPr>
      <w:r>
        <w:t xml:space="preserve">Objectives</w:t>
      </w:r>
    </w:p>
    <w:p>
      <w:pPr>
        <w:pStyle w:val="FirstParagraph"/>
      </w:pPr>
      <w:r>
        <w:t xml:space="preserve">The configuration system shall provide:</w:t>
      </w:r>
    </w:p>
    <w:p>
      <w:pPr>
        <w:pStyle w:val="Compact"/>
        <w:numPr>
          <w:ilvl w:val="0"/>
          <w:numId w:val="1001"/>
        </w:numPr>
      </w:pPr>
      <w:r>
        <w:t xml:space="preserve">centralized configuration management</w:t>
      </w:r>
    </w:p>
    <w:p>
      <w:pPr>
        <w:pStyle w:val="Compact"/>
        <w:numPr>
          <w:ilvl w:val="0"/>
          <w:numId w:val="1001"/>
        </w:numPr>
      </w:pPr>
      <w:r>
        <w:t xml:space="preserve">environment-specific settings</w:t>
      </w:r>
    </w:p>
    <w:p>
      <w:pPr>
        <w:pStyle w:val="Compact"/>
        <w:numPr>
          <w:ilvl w:val="0"/>
          <w:numId w:val="1001"/>
        </w:numPr>
      </w:pPr>
      <w:r>
        <w:t xml:space="preserve">deterministic loading</w:t>
      </w:r>
    </w:p>
    <w:p>
      <w:pPr>
        <w:pStyle w:val="Compact"/>
        <w:numPr>
          <w:ilvl w:val="0"/>
          <w:numId w:val="1001"/>
        </w:numPr>
      </w:pPr>
      <w:r>
        <w:t xml:space="preserve">validation during startup</w:t>
      </w:r>
    </w:p>
    <w:p>
      <w:pPr>
        <w:pStyle w:val="Compact"/>
        <w:numPr>
          <w:ilvl w:val="0"/>
          <w:numId w:val="1001"/>
        </w:numPr>
      </w:pPr>
      <w:r>
        <w:t xml:space="preserve">strong typing</w:t>
      </w:r>
    </w:p>
    <w:p>
      <w:pPr>
        <w:pStyle w:val="Compact"/>
        <w:numPr>
          <w:ilvl w:val="0"/>
          <w:numId w:val="1001"/>
        </w:numPr>
      </w:pPr>
      <w:r>
        <w:t xml:space="preserve">secure handling of sensitive information</w:t>
      </w:r>
    </w:p>
    <w:p>
      <w:r>
        <w:pict>
          <v:rect style="width:0;height:1.5pt" o:hralign="center" o:hrstd="t" o:hr="t"/>
        </w:pict>
      </w:r>
    </w:p>
    <w:bookmarkEnd w:id="11"/>
    <w:bookmarkStart w:id="12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Configuration shall be:</w:t>
      </w:r>
    </w:p>
    <w:p>
      <w:pPr>
        <w:pStyle w:val="Compact"/>
        <w:numPr>
          <w:ilvl w:val="0"/>
          <w:numId w:val="1002"/>
        </w:numPr>
      </w:pPr>
      <w:r>
        <w:t xml:space="preserve">externalized</w:t>
      </w:r>
    </w:p>
    <w:p>
      <w:pPr>
        <w:pStyle w:val="Compact"/>
        <w:numPr>
          <w:ilvl w:val="0"/>
          <w:numId w:val="1002"/>
        </w:numPr>
      </w:pPr>
      <w:r>
        <w:t xml:space="preserve">explicit</w:t>
      </w:r>
    </w:p>
    <w:p>
      <w:pPr>
        <w:pStyle w:val="Compact"/>
        <w:numPr>
          <w:ilvl w:val="0"/>
          <w:numId w:val="1002"/>
        </w:numPr>
      </w:pPr>
      <w:r>
        <w:t xml:space="preserve">validated</w:t>
      </w:r>
    </w:p>
    <w:p>
      <w:pPr>
        <w:pStyle w:val="Compact"/>
        <w:numPr>
          <w:ilvl w:val="0"/>
          <w:numId w:val="1002"/>
        </w:numPr>
      </w:pPr>
      <w:r>
        <w:t xml:space="preserve">version controlled where appropriate</w:t>
      </w:r>
    </w:p>
    <w:p>
      <w:pPr>
        <w:pStyle w:val="Compact"/>
        <w:numPr>
          <w:ilvl w:val="0"/>
          <w:numId w:val="1002"/>
        </w:numPr>
      </w:pPr>
      <w:r>
        <w:t xml:space="preserve">independent of business logic</w:t>
      </w:r>
    </w:p>
    <w:p>
      <w:pPr>
        <w:pStyle w:val="FirstParagraph"/>
      </w:pPr>
      <w:r>
        <w:t xml:space="preserve">Configuration must never contain business rules.</w:t>
      </w:r>
    </w:p>
    <w:p>
      <w:r>
        <w:pict>
          <v:rect style="width:0;height:1.5pt" o:hralign="center" o:hrstd="t" o:hr="t"/>
        </w:pict>
      </w:r>
    </w:p>
    <w:bookmarkEnd w:id="12"/>
    <w:bookmarkStart w:id="13" w:name="configuration-sources"/>
    <w:p>
      <w:pPr>
        <w:pStyle w:val="Heading1"/>
      </w:pPr>
      <w:r>
        <w:t xml:space="preserve">Configuration Sources</w:t>
      </w:r>
    </w:p>
    <w:p>
      <w:pPr>
        <w:pStyle w:val="FirstParagraph"/>
      </w:pPr>
      <w:r>
        <w:t xml:space="preserve">Supported configuration sources include:</w:t>
      </w:r>
    </w:p>
    <w:p>
      <w:pPr>
        <w:pStyle w:val="Compact"/>
        <w:numPr>
          <w:ilvl w:val="0"/>
          <w:numId w:val="1003"/>
        </w:numPr>
      </w:pPr>
      <w:r>
        <w:t xml:space="preserve">YAML files</w:t>
      </w:r>
    </w:p>
    <w:p>
      <w:pPr>
        <w:pStyle w:val="Compact"/>
        <w:numPr>
          <w:ilvl w:val="0"/>
          <w:numId w:val="1003"/>
        </w:numPr>
      </w:pPr>
      <w:r>
        <w:t xml:space="preserve">Environment variables</w:t>
      </w:r>
    </w:p>
    <w:p>
      <w:pPr>
        <w:pStyle w:val="Compact"/>
        <w:numPr>
          <w:ilvl w:val="0"/>
          <w:numId w:val="1003"/>
        </w:numPr>
      </w:pPr>
      <w:r>
        <w:t xml:space="preserve">Command-line arguments</w:t>
      </w:r>
    </w:p>
    <w:p>
      <w:pPr>
        <w:pStyle w:val="Compact"/>
        <w:numPr>
          <w:ilvl w:val="0"/>
          <w:numId w:val="1003"/>
        </w:numPr>
      </w:pPr>
      <w:r>
        <w:t xml:space="preserve">Runtime overrides (where supported)</w:t>
      </w:r>
    </w:p>
    <w:p>
      <w:pPr>
        <w:pStyle w:val="FirstParagraph"/>
      </w:pPr>
      <w:r>
        <w:t xml:space="preserve">The precedence order should be clearly defined and documented.</w:t>
      </w:r>
    </w:p>
    <w:p>
      <w:r>
        <w:pict>
          <v:rect style="width:0;height:1.5pt" o:hralign="center" o:hrstd="t" o:hr="t"/>
        </w:pict>
      </w:r>
    </w:p>
    <w:bookmarkEnd w:id="13"/>
    <w:bookmarkStart w:id="14" w:name="environment-profiles"/>
    <w:p>
      <w:pPr>
        <w:pStyle w:val="Heading1"/>
      </w:pPr>
      <w:r>
        <w:t xml:space="preserve">Environment Profiles</w:t>
      </w:r>
    </w:p>
    <w:p>
      <w:pPr>
        <w:pStyle w:val="FirstParagraph"/>
      </w:pPr>
      <w:r>
        <w:t xml:space="preserve">Typical environments:</w:t>
      </w:r>
    </w:p>
    <w:p>
      <w:pPr>
        <w:pStyle w:val="Compact"/>
        <w:numPr>
          <w:ilvl w:val="0"/>
          <w:numId w:val="1004"/>
        </w:numPr>
      </w:pPr>
      <w:r>
        <w:t xml:space="preserve">development</w:t>
      </w:r>
    </w:p>
    <w:p>
      <w:pPr>
        <w:pStyle w:val="Compact"/>
        <w:numPr>
          <w:ilvl w:val="0"/>
          <w:numId w:val="1004"/>
        </w:numPr>
      </w:pPr>
      <w:r>
        <w:t xml:space="preserve">testing</w:t>
      </w:r>
    </w:p>
    <w:p>
      <w:pPr>
        <w:pStyle w:val="Compact"/>
        <w:numPr>
          <w:ilvl w:val="0"/>
          <w:numId w:val="1004"/>
        </w:numPr>
      </w:pPr>
      <w:r>
        <w:t xml:space="preserve">staging</w:t>
      </w:r>
    </w:p>
    <w:p>
      <w:pPr>
        <w:pStyle w:val="Compact"/>
        <w:numPr>
          <w:ilvl w:val="0"/>
          <w:numId w:val="1004"/>
        </w:numPr>
      </w:pPr>
      <w:r>
        <w:t xml:space="preserve">production</w:t>
      </w:r>
    </w:p>
    <w:p>
      <w:pPr>
        <w:pStyle w:val="FirstParagraph"/>
      </w:pPr>
      <w:r>
        <w:t xml:space="preserve">Each environment should contain only the values that differ from the defaults.</w:t>
      </w:r>
    </w:p>
    <w:p>
      <w:r>
        <w:pict>
          <v:rect style="width:0;height:1.5pt" o:hralign="center" o:hrstd="t" o:hr="t"/>
        </w:pict>
      </w:r>
    </w:p>
    <w:bookmarkEnd w:id="14"/>
    <w:bookmarkStart w:id="15" w:name="configuration-loading"/>
    <w:p>
      <w:pPr>
        <w:pStyle w:val="Heading1"/>
      </w:pPr>
      <w:r>
        <w:t xml:space="preserve">Configuration Loading</w:t>
      </w:r>
    </w:p>
    <w:p>
      <w:pPr>
        <w:pStyle w:val="FirstParagraph"/>
      </w:pPr>
      <w:r>
        <w:t xml:space="preserve">The startup sequence should:</w:t>
      </w:r>
    </w:p>
    <w:p>
      <w:pPr>
        <w:pStyle w:val="Compact"/>
        <w:numPr>
          <w:ilvl w:val="0"/>
          <w:numId w:val="1005"/>
        </w:numPr>
      </w:pPr>
      <w:r>
        <w:t xml:space="preserve">Detect the active profile.</w:t>
      </w:r>
    </w:p>
    <w:p>
      <w:pPr>
        <w:pStyle w:val="Compact"/>
        <w:numPr>
          <w:ilvl w:val="0"/>
          <w:numId w:val="1005"/>
        </w:numPr>
      </w:pPr>
      <w:r>
        <w:t xml:space="preserve">Load base configuration.</w:t>
      </w:r>
    </w:p>
    <w:p>
      <w:pPr>
        <w:pStyle w:val="Compact"/>
        <w:numPr>
          <w:ilvl w:val="0"/>
          <w:numId w:val="1005"/>
        </w:numPr>
      </w:pPr>
      <w:r>
        <w:t xml:space="preserve">Load environment-specific configuration.</w:t>
      </w:r>
    </w:p>
    <w:p>
      <w:pPr>
        <w:pStyle w:val="Compact"/>
        <w:numPr>
          <w:ilvl w:val="0"/>
          <w:numId w:val="1005"/>
        </w:numPr>
      </w:pPr>
      <w:r>
        <w:t xml:space="preserve">Apply environment variables.</w:t>
      </w:r>
    </w:p>
    <w:p>
      <w:pPr>
        <w:pStyle w:val="Compact"/>
        <w:numPr>
          <w:ilvl w:val="0"/>
          <w:numId w:val="1005"/>
        </w:numPr>
      </w:pPr>
      <w:r>
        <w:t xml:space="preserve">Validate the final configuration.</w:t>
      </w:r>
    </w:p>
    <w:p>
      <w:pPr>
        <w:pStyle w:val="Compact"/>
        <w:numPr>
          <w:ilvl w:val="0"/>
          <w:numId w:val="1005"/>
        </w:numPr>
      </w:pPr>
      <w:r>
        <w:t xml:space="preserve">Register configuration in the dependency container.</w:t>
      </w:r>
    </w:p>
    <w:p>
      <w:pPr>
        <w:pStyle w:val="FirstParagraph"/>
      </w:pPr>
      <w:r>
        <w:t xml:space="preserve">Configuration loading should fail fast if validation fails.</w:t>
      </w:r>
    </w:p>
    <w:p>
      <w:r>
        <w:pict>
          <v:rect style="width:0;height:1.5pt" o:hralign="center" o:hrstd="t" o:hr="t"/>
        </w:pict>
      </w:r>
    </w:p>
    <w:bookmarkEnd w:id="15"/>
    <w:bookmarkStart w:id="16" w:name="validation"/>
    <w:p>
      <w:pPr>
        <w:pStyle w:val="Heading1"/>
      </w:pPr>
      <w:r>
        <w:t xml:space="preserve">Validation</w:t>
      </w:r>
    </w:p>
    <w:p>
      <w:pPr>
        <w:pStyle w:val="FirstParagraph"/>
      </w:pPr>
      <w:r>
        <w:t xml:space="preserve">Every configuration value should be validated before runtime.</w:t>
      </w:r>
    </w:p>
    <w:p>
      <w:pPr>
        <w:pStyle w:val="BodyText"/>
      </w:pPr>
      <w:r>
        <w:t xml:space="preserve">Typical validation includes:</w:t>
      </w:r>
    </w:p>
    <w:p>
      <w:pPr>
        <w:pStyle w:val="Compact"/>
        <w:numPr>
          <w:ilvl w:val="0"/>
          <w:numId w:val="1006"/>
        </w:numPr>
      </w:pPr>
      <w:r>
        <w:t xml:space="preserve">required values</w:t>
      </w:r>
    </w:p>
    <w:p>
      <w:pPr>
        <w:pStyle w:val="Compact"/>
        <w:numPr>
          <w:ilvl w:val="0"/>
          <w:numId w:val="1006"/>
        </w:numPr>
      </w:pPr>
      <w:r>
        <w:t xml:space="preserve">valid paths</w:t>
      </w:r>
    </w:p>
    <w:p>
      <w:pPr>
        <w:pStyle w:val="Compact"/>
        <w:numPr>
          <w:ilvl w:val="0"/>
          <w:numId w:val="1006"/>
        </w:numPr>
      </w:pPr>
      <w:r>
        <w:t xml:space="preserve">numeric ranges</w:t>
      </w:r>
    </w:p>
    <w:p>
      <w:pPr>
        <w:pStyle w:val="Compact"/>
        <w:numPr>
          <w:ilvl w:val="0"/>
          <w:numId w:val="1006"/>
        </w:numPr>
      </w:pPr>
      <w:r>
        <w:t xml:space="preserve">enum values</w:t>
      </w:r>
    </w:p>
    <w:p>
      <w:pPr>
        <w:pStyle w:val="Compact"/>
        <w:numPr>
          <w:ilvl w:val="0"/>
          <w:numId w:val="1006"/>
        </w:numPr>
      </w:pPr>
      <w:r>
        <w:t xml:space="preserve">external resource availability (where practical)</w:t>
      </w:r>
    </w:p>
    <w:p>
      <w:r>
        <w:pict>
          <v:rect style="width:0;height:1.5pt" o:hralign="center" o:hrstd="t" o:hr="t"/>
        </w:pict>
      </w:r>
    </w:p>
    <w:bookmarkEnd w:id="16"/>
    <w:bookmarkStart w:id="17" w:name="secrets"/>
    <w:p>
      <w:pPr>
        <w:pStyle w:val="Heading1"/>
      </w:pPr>
      <w:r>
        <w:t xml:space="preserve">Secrets</w:t>
      </w:r>
    </w:p>
    <w:p>
      <w:pPr>
        <w:pStyle w:val="FirstParagraph"/>
      </w:pPr>
      <w:r>
        <w:t xml:space="preserve">Sensitive information must never be stored directly in source code.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API keys</w:t>
      </w:r>
    </w:p>
    <w:p>
      <w:pPr>
        <w:pStyle w:val="Compact"/>
        <w:numPr>
          <w:ilvl w:val="0"/>
          <w:numId w:val="1007"/>
        </w:numPr>
      </w:pPr>
      <w:r>
        <w:t xml:space="preserve">access tokens</w:t>
      </w:r>
    </w:p>
    <w:p>
      <w:pPr>
        <w:pStyle w:val="Compact"/>
        <w:numPr>
          <w:ilvl w:val="0"/>
          <w:numId w:val="1007"/>
        </w:numPr>
      </w:pPr>
      <w:r>
        <w:t xml:space="preserve">passwords</w:t>
      </w:r>
    </w:p>
    <w:p>
      <w:pPr>
        <w:pStyle w:val="Compact"/>
        <w:numPr>
          <w:ilvl w:val="0"/>
          <w:numId w:val="1007"/>
        </w:numPr>
      </w:pPr>
      <w:r>
        <w:t xml:space="preserve">broker credentials</w:t>
      </w:r>
    </w:p>
    <w:p>
      <w:pPr>
        <w:pStyle w:val="FirstParagraph"/>
      </w:pPr>
      <w:r>
        <w:t xml:space="preserve">Secrets should be provided through secure external mechanisms.</w:t>
      </w:r>
    </w:p>
    <w:p>
      <w:r>
        <w:pict>
          <v:rect style="width:0;height:1.5pt" o:hralign="center" o:hrstd="t" o:hr="t"/>
        </w:pict>
      </w:r>
    </w:p>
    <w:bookmarkEnd w:id="17"/>
    <w:bookmarkStart w:id="18" w:name="configuration-structure"/>
    <w:p>
      <w:pPr>
        <w:pStyle w:val="Heading1"/>
      </w:pPr>
      <w:r>
        <w:t xml:space="preserve">Configuration Structure</w:t>
      </w:r>
    </w:p>
    <w:p>
      <w:pPr>
        <w:pStyle w:val="FirstParagraph"/>
      </w:pPr>
      <w:r>
        <w:t xml:space="preserve">Configuration should be organized by responsibility.</w:t>
      </w:r>
    </w:p>
    <w:p>
      <w:pPr>
        <w:pStyle w:val="BodyText"/>
      </w:pPr>
      <w:r>
        <w:t xml:space="preserve">Typical sections:</w:t>
      </w:r>
    </w:p>
    <w:p>
      <w:pPr>
        <w:pStyle w:val="Compact"/>
        <w:numPr>
          <w:ilvl w:val="0"/>
          <w:numId w:val="1008"/>
        </w:numPr>
      </w:pPr>
      <w:r>
        <w:t xml:space="preserve">Application</w:t>
      </w:r>
    </w:p>
    <w:p>
      <w:pPr>
        <w:pStyle w:val="Compact"/>
        <w:numPr>
          <w:ilvl w:val="0"/>
          <w:numId w:val="1008"/>
        </w:numPr>
      </w:pPr>
      <w:r>
        <w:t xml:space="preserve">Runtime</w:t>
      </w:r>
    </w:p>
    <w:p>
      <w:pPr>
        <w:pStyle w:val="Compact"/>
        <w:numPr>
          <w:ilvl w:val="0"/>
          <w:numId w:val="1008"/>
        </w:numPr>
      </w:pPr>
      <w:r>
        <w:t xml:space="preserve">Logging</w:t>
      </w:r>
    </w:p>
    <w:p>
      <w:pPr>
        <w:pStyle w:val="Compact"/>
        <w:numPr>
          <w:ilvl w:val="0"/>
          <w:numId w:val="1008"/>
        </w:numPr>
      </w:pPr>
      <w:r>
        <w:t xml:space="preserve">Database</w:t>
      </w:r>
    </w:p>
    <w:p>
      <w:pPr>
        <w:pStyle w:val="Compact"/>
        <w:numPr>
          <w:ilvl w:val="0"/>
          <w:numId w:val="1008"/>
        </w:numPr>
      </w:pPr>
      <w:r>
        <w:t xml:space="preserve">Messaging</w:t>
      </w:r>
    </w:p>
    <w:p>
      <w:pPr>
        <w:pStyle w:val="Compact"/>
        <w:numPr>
          <w:ilvl w:val="0"/>
          <w:numId w:val="1008"/>
        </w:numPr>
      </w:pPr>
      <w:r>
        <w:t xml:space="preserve">Scheduler</w:t>
      </w:r>
    </w:p>
    <w:p>
      <w:pPr>
        <w:pStyle w:val="Compact"/>
        <w:numPr>
          <w:ilvl w:val="0"/>
          <w:numId w:val="1008"/>
        </w:numPr>
      </w:pPr>
      <w:r>
        <w:t xml:space="preserve">Plugins</w:t>
      </w:r>
    </w:p>
    <w:p>
      <w:pPr>
        <w:pStyle w:val="Compact"/>
        <w:numPr>
          <w:ilvl w:val="0"/>
          <w:numId w:val="1008"/>
        </w:numPr>
      </w:pPr>
      <w:r>
        <w:t xml:space="preserve">Broker</w:t>
      </w:r>
    </w:p>
    <w:p>
      <w:pPr>
        <w:pStyle w:val="Compact"/>
        <w:numPr>
          <w:ilvl w:val="0"/>
          <w:numId w:val="1008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18"/>
    <w:bookmarkStart w:id="19" w:name="best-practices"/>
    <w:p>
      <w:pPr>
        <w:pStyle w:val="Heading1"/>
      </w:pPr>
      <w:r>
        <w:t xml:space="preserve">Best Practices</w:t>
      </w:r>
    </w:p>
    <w:p>
      <w:pPr>
        <w:pStyle w:val="FirstParagraph"/>
      </w:pPr>
      <w:r>
        <w:t xml:space="preserve">Configuration should be:</w:t>
      </w:r>
    </w:p>
    <w:p>
      <w:pPr>
        <w:pStyle w:val="Compact"/>
        <w:numPr>
          <w:ilvl w:val="0"/>
          <w:numId w:val="1009"/>
        </w:numPr>
      </w:pPr>
      <w:r>
        <w:t xml:space="preserve">minimal</w:t>
      </w:r>
    </w:p>
    <w:p>
      <w:pPr>
        <w:pStyle w:val="Compact"/>
        <w:numPr>
          <w:ilvl w:val="0"/>
          <w:numId w:val="1009"/>
        </w:numPr>
      </w:pPr>
      <w:r>
        <w:t xml:space="preserve">readable</w:t>
      </w:r>
    </w:p>
    <w:p>
      <w:pPr>
        <w:pStyle w:val="Compact"/>
        <w:numPr>
          <w:ilvl w:val="0"/>
          <w:numId w:val="1009"/>
        </w:numPr>
      </w:pPr>
      <w:r>
        <w:t xml:space="preserve">well documented</w:t>
      </w:r>
    </w:p>
    <w:p>
      <w:pPr>
        <w:pStyle w:val="Compact"/>
        <w:numPr>
          <w:ilvl w:val="0"/>
          <w:numId w:val="1009"/>
        </w:numPr>
      </w:pPr>
      <w:r>
        <w:t xml:space="preserve">backward compatible where practical</w:t>
      </w:r>
    </w:p>
    <w:p>
      <w:pPr>
        <w:pStyle w:val="FirstParagraph"/>
      </w:pPr>
      <w:r>
        <w:t xml:space="preserve">Unused configuration entries should be removed.</w:t>
      </w:r>
    </w:p>
    <w:p>
      <w:r>
        <w:pict>
          <v:rect style="width:0;height:1.5pt" o:hralign="center" o:hrstd="t" o:hr="t"/>
        </w:pict>
      </w:r>
    </w:p>
    <w:bookmarkEnd w:id="19"/>
    <w:bookmarkStart w:id="20" w:name="configuration-governance"/>
    <w:p>
      <w:pPr>
        <w:pStyle w:val="Heading1"/>
      </w:pPr>
      <w:r>
        <w:t xml:space="preserve">Configuration Governance</w:t>
      </w:r>
    </w:p>
    <w:p>
      <w:pPr>
        <w:pStyle w:val="FirstParagraph"/>
      </w:pPr>
      <w:r>
        <w:t xml:space="preserve">Configuration changes shall:</w:t>
      </w:r>
    </w:p>
    <w:p>
      <w:pPr>
        <w:pStyle w:val="Compact"/>
        <w:numPr>
          <w:ilvl w:val="0"/>
          <w:numId w:val="1010"/>
        </w:numPr>
      </w:pPr>
      <w:r>
        <w:t xml:space="preserve">be reviewed</w:t>
      </w:r>
    </w:p>
    <w:p>
      <w:pPr>
        <w:pStyle w:val="Compact"/>
        <w:numPr>
          <w:ilvl w:val="0"/>
          <w:numId w:val="1010"/>
        </w:numPr>
      </w:pPr>
      <w:r>
        <w:t xml:space="preserve">remain backward compatible where practical</w:t>
      </w:r>
    </w:p>
    <w:p>
      <w:pPr>
        <w:pStyle w:val="Compact"/>
        <w:numPr>
          <w:ilvl w:val="0"/>
          <w:numId w:val="1010"/>
        </w:numPr>
      </w:pPr>
      <w:r>
        <w:t xml:space="preserve">be documented</w:t>
      </w:r>
    </w:p>
    <w:p>
      <w:pPr>
        <w:pStyle w:val="Compact"/>
        <w:numPr>
          <w:ilvl w:val="0"/>
          <w:numId w:val="1010"/>
        </w:numPr>
      </w:pPr>
      <w:r>
        <w:t xml:space="preserve">be validated before deployment</w:t>
      </w:r>
    </w:p>
    <w:p>
      <w:pPr>
        <w:pStyle w:val="FirstParagraph"/>
      </w:pPr>
      <w:r>
        <w:t xml:space="preserve">Configuration is part of the system architecture.</w:t>
      </w:r>
    </w:p>
    <w:p>
      <w:r>
        <w:pict>
          <v:rect style="width:0;height:1.5pt" o:hralign="center" o:hrstd="t" o:hr="t"/>
        </w:pict>
      </w:r>
    </w:p>
    <w:bookmarkEnd w:id="20"/>
    <w:bookmarkStart w:id="21" w:name="configuration-review-checklist"/>
    <w:p>
      <w:pPr>
        <w:pStyle w:val="Heading1"/>
      </w:pPr>
      <w:r>
        <w:t xml:space="preserve">Configuration Review Checklist</w:t>
      </w:r>
    </w:p>
    <w:p>
      <w:pPr>
        <w:pStyle w:val="FirstParagraph"/>
      </w:pPr>
      <w:r>
        <w:t xml:space="preserve">Before releasing verify:</w:t>
      </w:r>
    </w:p>
    <w:p>
      <w:pPr>
        <w:pStyle w:val="Compact"/>
        <w:numPr>
          <w:ilvl w:val="0"/>
          <w:numId w:val="1011"/>
        </w:numPr>
      </w:pPr>
      <w:r>
        <w:t xml:space="preserve">configuration validated</w:t>
      </w:r>
    </w:p>
    <w:p>
      <w:pPr>
        <w:pStyle w:val="Compact"/>
        <w:numPr>
          <w:ilvl w:val="0"/>
          <w:numId w:val="1011"/>
        </w:numPr>
      </w:pPr>
      <w:r>
        <w:t xml:space="preserve">defaults defined</w:t>
      </w:r>
    </w:p>
    <w:p>
      <w:pPr>
        <w:pStyle w:val="Compact"/>
        <w:numPr>
          <w:ilvl w:val="0"/>
          <w:numId w:val="1011"/>
        </w:numPr>
      </w:pPr>
      <w:r>
        <w:t xml:space="preserve">secrets externalized</w:t>
      </w:r>
    </w:p>
    <w:p>
      <w:pPr>
        <w:pStyle w:val="Compact"/>
        <w:numPr>
          <w:ilvl w:val="0"/>
          <w:numId w:val="1011"/>
        </w:numPr>
      </w:pPr>
      <w:r>
        <w:t xml:space="preserve">environment profiles complete</w:t>
      </w:r>
    </w:p>
    <w:p>
      <w:pPr>
        <w:pStyle w:val="Compact"/>
        <w:numPr>
          <w:ilvl w:val="0"/>
          <w:numId w:val="1011"/>
        </w:numPr>
      </w:pPr>
      <w:r>
        <w:t xml:space="preserve">documentation updated</w:t>
      </w:r>
    </w:p>
    <w:p>
      <w:r>
        <w:pict>
          <v:rect style="width:0;height:1.5pt" o:hralign="center" o:hrstd="t" o:hr="t"/>
        </w:pict>
      </w:r>
    </w:p>
    <w:bookmarkEnd w:id="21"/>
    <w:bookmarkStart w:id="22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12"/>
        </w:numPr>
      </w:pPr>
      <w:r>
        <w:t xml:space="preserve">Runtime.md</w:t>
      </w:r>
    </w:p>
    <w:p>
      <w:pPr>
        <w:pStyle w:val="Compact"/>
        <w:numPr>
          <w:ilvl w:val="0"/>
          <w:numId w:val="1012"/>
        </w:numPr>
      </w:pPr>
      <w:r>
        <w:t xml:space="preserve">Architecture.md</w:t>
      </w:r>
    </w:p>
    <w:p>
      <w:pPr>
        <w:pStyle w:val="Compact"/>
        <w:numPr>
          <w:ilvl w:val="0"/>
          <w:numId w:val="1012"/>
        </w:numPr>
      </w:pPr>
      <w:r>
        <w:t xml:space="preserve">Infrastructure.md</w:t>
      </w:r>
    </w:p>
    <w:p>
      <w:pPr>
        <w:pStyle w:val="Compact"/>
        <w:numPr>
          <w:ilvl w:val="0"/>
          <w:numId w:val="1012"/>
        </w:numPr>
      </w:pPr>
      <w:r>
        <w:t xml:space="preserve">AGENTS.md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2026-07-03T13:04:04Z</dcterms:created>
  <dcterms:modified xsi:type="dcterms:W3CDTF">2026-07-03T13:04:04Z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