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logging architecture of Trading Platform Pro.</w:t>
      </w:r>
    </w:p>
    <w:p>
      <w:pPr>
        <w:pStyle w:val="BodyText"/>
      </w:pPr>
      <w:r>
        <w:t xml:space="preserve">Logging is a core infrastructure service used to improve observability, diagnostics, troubleshooting and operational transparency.</w:t>
      </w:r>
    </w:p>
    <w:p>
      <w:r>
        <w:pict>
          <v:rect style="width:0;height:1.5pt" o:hralign="center" o:hrstd="t" o:hr="t"/>
        </w:pict>
      </w:r>
    </w:p>
    <w:bookmarkEnd w:id="10"/>
    <w:bookmarkStart w:id="11" w:name="objectives"/>
    <w:p>
      <w:pPr>
        <w:pStyle w:val="Heading1"/>
      </w:pPr>
      <w:r>
        <w:t xml:space="preserve">Objectives</w:t>
      </w:r>
    </w:p>
    <w:p>
      <w:pPr>
        <w:pStyle w:val="FirstParagraph"/>
      </w:pPr>
      <w:r>
        <w:t xml:space="preserve">The logging system shall provide:</w:t>
      </w:r>
    </w:p>
    <w:p>
      <w:pPr>
        <w:pStyle w:val="Compact"/>
        <w:numPr>
          <w:ilvl w:val="0"/>
          <w:numId w:val="1001"/>
        </w:numPr>
      </w:pPr>
      <w:r>
        <w:t xml:space="preserve">structured logging</w:t>
      </w:r>
    </w:p>
    <w:p>
      <w:pPr>
        <w:pStyle w:val="Compact"/>
        <w:numPr>
          <w:ilvl w:val="0"/>
          <w:numId w:val="1001"/>
        </w:numPr>
      </w:pPr>
      <w:r>
        <w:t xml:space="preserve">deterministic output</w:t>
      </w:r>
    </w:p>
    <w:p>
      <w:pPr>
        <w:pStyle w:val="Compact"/>
        <w:numPr>
          <w:ilvl w:val="0"/>
          <w:numId w:val="1001"/>
        </w:numPr>
      </w:pPr>
      <w:r>
        <w:t xml:space="preserve">consistent formatting</w:t>
      </w:r>
    </w:p>
    <w:p>
      <w:pPr>
        <w:pStyle w:val="Compact"/>
        <w:numPr>
          <w:ilvl w:val="0"/>
          <w:numId w:val="1001"/>
        </w:numPr>
      </w:pPr>
      <w:r>
        <w:t xml:space="preserve">configurable log levels</w:t>
      </w:r>
    </w:p>
    <w:p>
      <w:pPr>
        <w:pStyle w:val="Compact"/>
        <w:numPr>
          <w:ilvl w:val="0"/>
          <w:numId w:val="1001"/>
        </w:numPr>
      </w:pPr>
      <w:r>
        <w:t xml:space="preserve">centralized configuration</w:t>
      </w:r>
    </w:p>
    <w:p>
      <w:pPr>
        <w:pStyle w:val="Compact"/>
        <w:numPr>
          <w:ilvl w:val="0"/>
          <w:numId w:val="1001"/>
        </w:numPr>
      </w:pPr>
      <w:r>
        <w:t xml:space="preserve">minimal runtime overhead</w:t>
      </w:r>
    </w:p>
    <w:p>
      <w:r>
        <w:pict>
          <v:rect style="width:0;height:1.5pt" o:hralign="center" o:hrstd="t" o:hr="t"/>
        </w:pict>
      </w:r>
    </w:p>
    <w:bookmarkEnd w:id="11"/>
    <w:bookmarkStart w:id="12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Logging should be:</w:t>
      </w:r>
    </w:p>
    <w:p>
      <w:pPr>
        <w:pStyle w:val="Compact"/>
        <w:numPr>
          <w:ilvl w:val="0"/>
          <w:numId w:val="1002"/>
        </w:numPr>
      </w:pPr>
      <w:r>
        <w:t xml:space="preserve">consistent</w:t>
      </w:r>
    </w:p>
    <w:p>
      <w:pPr>
        <w:pStyle w:val="Compact"/>
        <w:numPr>
          <w:ilvl w:val="0"/>
          <w:numId w:val="1002"/>
        </w:numPr>
      </w:pPr>
      <w:r>
        <w:t xml:space="preserve">predictable</w:t>
      </w:r>
    </w:p>
    <w:p>
      <w:pPr>
        <w:pStyle w:val="Compact"/>
        <w:numPr>
          <w:ilvl w:val="0"/>
          <w:numId w:val="1002"/>
        </w:numPr>
      </w:pPr>
      <w:r>
        <w:t xml:space="preserve">informative</w:t>
      </w:r>
    </w:p>
    <w:p>
      <w:pPr>
        <w:pStyle w:val="Compact"/>
        <w:numPr>
          <w:ilvl w:val="0"/>
          <w:numId w:val="1002"/>
        </w:numPr>
      </w:pPr>
      <w:r>
        <w:t xml:space="preserve">lightweight</w:t>
      </w:r>
    </w:p>
    <w:p>
      <w:pPr>
        <w:pStyle w:val="FirstParagraph"/>
      </w:pPr>
      <w:r>
        <w:t xml:space="preserve">Log messages should explain</w:t>
      </w:r>
      <w:r>
        <w:t xml:space="preserve"> </w:t>
      </w:r>
      <w:r>
        <w:rPr>
          <w:b/>
          <w:bCs/>
        </w:rPr>
        <w:t xml:space="preserve">what happened</w:t>
      </w:r>
      <w:r>
        <w:t xml:space="preserve"> </w:t>
      </w:r>
      <w:r>
        <w:t xml:space="preserve">and provide sufficient context for diagnosis.</w:t>
      </w:r>
    </w:p>
    <w:p>
      <w:r>
        <w:pict>
          <v:rect style="width:0;height:1.5pt" o:hralign="center" o:hrstd="t" o:hr="t"/>
        </w:pict>
      </w:r>
    </w:p>
    <w:bookmarkEnd w:id="12"/>
    <w:bookmarkStart w:id="13" w:name="log-levels"/>
    <w:p>
      <w:pPr>
        <w:pStyle w:val="Heading1"/>
      </w:pPr>
      <w:r>
        <w:t xml:space="preserve">Log Levels</w:t>
      </w:r>
    </w:p>
    <w:p>
      <w:pPr>
        <w:pStyle w:val="FirstParagraph"/>
      </w:pPr>
      <w:r>
        <w:t xml:space="preserve">Supported log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Detailed diagnostic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operational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Unexpected but recoverable situations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Operation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stability is affected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ogging-rules"/>
    <w:p>
      <w:pPr>
        <w:pStyle w:val="Heading1"/>
      </w:pPr>
      <w:r>
        <w:t xml:space="preserve">Logging Rules</w:t>
      </w:r>
    </w:p>
    <w:p>
      <w:pPr>
        <w:pStyle w:val="FirstParagraph"/>
      </w:pPr>
      <w:r>
        <w:t xml:space="preserve">Log when:</w:t>
      </w:r>
    </w:p>
    <w:p>
      <w:pPr>
        <w:pStyle w:val="Compact"/>
        <w:numPr>
          <w:ilvl w:val="0"/>
          <w:numId w:val="1003"/>
        </w:numPr>
      </w:pPr>
      <w:r>
        <w:t xml:space="preserve">services start or stop</w:t>
      </w:r>
    </w:p>
    <w:p>
      <w:pPr>
        <w:pStyle w:val="Compact"/>
        <w:numPr>
          <w:ilvl w:val="0"/>
          <w:numId w:val="1003"/>
        </w:numPr>
      </w:pPr>
      <w:r>
        <w:t xml:space="preserve">configuration is loaded</w:t>
      </w:r>
    </w:p>
    <w:p>
      <w:pPr>
        <w:pStyle w:val="Compact"/>
        <w:numPr>
          <w:ilvl w:val="0"/>
          <w:numId w:val="1003"/>
        </w:numPr>
      </w:pPr>
      <w:r>
        <w:t xml:space="preserve">external resources are initialized</w:t>
      </w:r>
    </w:p>
    <w:p>
      <w:pPr>
        <w:pStyle w:val="Compact"/>
        <w:numPr>
          <w:ilvl w:val="0"/>
          <w:numId w:val="1003"/>
        </w:numPr>
      </w:pPr>
      <w:r>
        <w:t xml:space="preserve">significant state changes occur</w:t>
      </w:r>
    </w:p>
    <w:p>
      <w:pPr>
        <w:pStyle w:val="Compact"/>
        <w:numPr>
          <w:ilvl w:val="0"/>
          <w:numId w:val="1003"/>
        </w:numPr>
      </w:pPr>
      <w:r>
        <w:t xml:space="preserve">recoverable errors happen</w:t>
      </w:r>
    </w:p>
    <w:p>
      <w:pPr>
        <w:pStyle w:val="Compact"/>
        <w:numPr>
          <w:ilvl w:val="0"/>
          <w:numId w:val="1003"/>
        </w:numPr>
      </w:pPr>
      <w:r>
        <w:t xml:space="preserve">unexpected exceptions occur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log trivial implementation details.</w:t>
      </w:r>
    </w:p>
    <w:p>
      <w:r>
        <w:pict>
          <v:rect style="width:0;height:1.5pt" o:hralign="center" o:hrstd="t" o:hr="t"/>
        </w:pict>
      </w:r>
    </w:p>
    <w:bookmarkEnd w:id="14"/>
    <w:bookmarkStart w:id="15" w:name="message-style"/>
    <w:p>
      <w:pPr>
        <w:pStyle w:val="Heading1"/>
      </w:pPr>
      <w:r>
        <w:t xml:space="preserve">Message Style</w:t>
      </w:r>
    </w:p>
    <w:p>
      <w:pPr>
        <w:pStyle w:val="FirstParagraph"/>
      </w:pPr>
      <w:r>
        <w:t xml:space="preserve">Log messages should be:</w:t>
      </w:r>
    </w:p>
    <w:p>
      <w:pPr>
        <w:pStyle w:val="Compact"/>
        <w:numPr>
          <w:ilvl w:val="0"/>
          <w:numId w:val="1004"/>
        </w:numPr>
      </w:pPr>
      <w:r>
        <w:t xml:space="preserve">short</w:t>
      </w:r>
    </w:p>
    <w:p>
      <w:pPr>
        <w:pStyle w:val="Compact"/>
        <w:numPr>
          <w:ilvl w:val="0"/>
          <w:numId w:val="1004"/>
        </w:numPr>
      </w:pPr>
      <w:r>
        <w:t xml:space="preserve">descriptive</w:t>
      </w:r>
    </w:p>
    <w:p>
      <w:pPr>
        <w:pStyle w:val="Compact"/>
        <w:numPr>
          <w:ilvl w:val="0"/>
          <w:numId w:val="1004"/>
        </w:numPr>
      </w:pPr>
      <w:r>
        <w:t xml:space="preserve">consistent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Configuration loaded successfully.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Entered function xyz...</w:t>
      </w:r>
    </w:p>
    <w:p>
      <w:r>
        <w:pict>
          <v:rect style="width:0;height:1.5pt" o:hralign="center" o:hrstd="t" o:hr="t"/>
        </w:pict>
      </w:r>
    </w:p>
    <w:bookmarkEnd w:id="15"/>
    <w:bookmarkStart w:id="16" w:name="structured-logging"/>
    <w:p>
      <w:pPr>
        <w:pStyle w:val="Heading1"/>
      </w:pPr>
      <w:r>
        <w:t xml:space="preserve">Structured Logging</w:t>
      </w:r>
    </w:p>
    <w:p>
      <w:pPr>
        <w:pStyle w:val="FirstParagraph"/>
      </w:pPr>
      <w:r>
        <w:t xml:space="preserve">Whenever practical, include structured context:</w:t>
      </w:r>
    </w:p>
    <w:p>
      <w:pPr>
        <w:pStyle w:val="Compact"/>
        <w:numPr>
          <w:ilvl w:val="0"/>
          <w:numId w:val="1005"/>
        </w:numPr>
      </w:pPr>
      <w:r>
        <w:t xml:space="preserve">component</w:t>
      </w:r>
    </w:p>
    <w:p>
      <w:pPr>
        <w:pStyle w:val="Compact"/>
        <w:numPr>
          <w:ilvl w:val="0"/>
          <w:numId w:val="1005"/>
        </w:numPr>
      </w:pPr>
      <w:r>
        <w:t xml:space="preserve">operation</w:t>
      </w:r>
    </w:p>
    <w:p>
      <w:pPr>
        <w:pStyle w:val="Compact"/>
        <w:numPr>
          <w:ilvl w:val="0"/>
          <w:numId w:val="1005"/>
        </w:numPr>
      </w:pPr>
      <w:r>
        <w:t xml:space="preserve">identifier</w:t>
      </w:r>
    </w:p>
    <w:p>
      <w:pPr>
        <w:pStyle w:val="Compact"/>
        <w:numPr>
          <w:ilvl w:val="0"/>
          <w:numId w:val="1005"/>
        </w:numPr>
      </w:pPr>
      <w:r>
        <w:t xml:space="preserve">execution time</w:t>
      </w:r>
    </w:p>
    <w:p>
      <w:pPr>
        <w:pStyle w:val="Compact"/>
        <w:numPr>
          <w:ilvl w:val="0"/>
          <w:numId w:val="1005"/>
        </w:numPr>
      </w:pPr>
      <w:r>
        <w:t xml:space="preserve">correlation id</w:t>
      </w:r>
    </w:p>
    <w:p>
      <w:pPr>
        <w:pStyle w:val="FirstParagraph"/>
      </w:pPr>
      <w:r>
        <w:t xml:space="preserve">Avoid embedding complex data inside free-form text.</w:t>
      </w:r>
    </w:p>
    <w:p>
      <w:r>
        <w:pict>
          <v:rect style="width:0;height:1.5pt" o:hralign="center" o:hrstd="t" o:hr="t"/>
        </w:pict>
      </w:r>
    </w:p>
    <w:bookmarkEnd w:id="16"/>
    <w:bookmarkStart w:id="17" w:name="exception-logging"/>
    <w:p>
      <w:pPr>
        <w:pStyle w:val="Heading1"/>
      </w:pPr>
      <w:r>
        <w:t xml:space="preserve">Exception Logging</w:t>
      </w:r>
    </w:p>
    <w:p>
      <w:pPr>
        <w:pStyle w:val="FirstParagraph"/>
      </w:pPr>
      <w:r>
        <w:t xml:space="preserve">Exceptions should:</w:t>
      </w:r>
    </w:p>
    <w:p>
      <w:pPr>
        <w:pStyle w:val="Compact"/>
        <w:numPr>
          <w:ilvl w:val="0"/>
          <w:numId w:val="1006"/>
        </w:numPr>
      </w:pPr>
      <w:r>
        <w:t xml:space="preserve">be logged once</w:t>
      </w:r>
    </w:p>
    <w:p>
      <w:pPr>
        <w:pStyle w:val="Compact"/>
        <w:numPr>
          <w:ilvl w:val="0"/>
          <w:numId w:val="1006"/>
        </w:numPr>
      </w:pPr>
      <w:r>
        <w:t xml:space="preserve">include the root cause</w:t>
      </w:r>
    </w:p>
    <w:p>
      <w:pPr>
        <w:pStyle w:val="Compact"/>
        <w:numPr>
          <w:ilvl w:val="0"/>
          <w:numId w:val="1006"/>
        </w:numPr>
      </w:pPr>
      <w:r>
        <w:t xml:space="preserve">preserve the stack trace</w:t>
      </w:r>
    </w:p>
    <w:p>
      <w:pPr>
        <w:pStyle w:val="FirstParagraph"/>
      </w:pPr>
      <w:r>
        <w:t xml:space="preserve">Avoid duplicate logging of the same exception.</w:t>
      </w:r>
    </w:p>
    <w:p>
      <w:r>
        <w:pict>
          <v:rect style="width:0;height:1.5pt" o:hralign="center" o:hrstd="t" o:hr="t"/>
        </w:pict>
      </w:r>
    </w:p>
    <w:bookmarkEnd w:id="17"/>
    <w:bookmarkStart w:id="18" w:name="sensitive-data"/>
    <w:p>
      <w:pPr>
        <w:pStyle w:val="Heading1"/>
      </w:pPr>
      <w:r>
        <w:t xml:space="preserve">Sensitive Data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07"/>
        </w:numPr>
      </w:pPr>
      <w:r>
        <w:t xml:space="preserve">passwords</w:t>
      </w:r>
    </w:p>
    <w:p>
      <w:pPr>
        <w:pStyle w:val="Compact"/>
        <w:numPr>
          <w:ilvl w:val="0"/>
          <w:numId w:val="1007"/>
        </w:numPr>
      </w:pPr>
      <w:r>
        <w:t xml:space="preserve">API keys</w:t>
      </w:r>
    </w:p>
    <w:p>
      <w:pPr>
        <w:pStyle w:val="Compact"/>
        <w:numPr>
          <w:ilvl w:val="0"/>
          <w:numId w:val="1007"/>
        </w:numPr>
      </w:pPr>
      <w:r>
        <w:t xml:space="preserve">authentication tokens</w:t>
      </w:r>
    </w:p>
    <w:p>
      <w:pPr>
        <w:pStyle w:val="Compact"/>
        <w:numPr>
          <w:ilvl w:val="0"/>
          <w:numId w:val="1007"/>
        </w:numPr>
      </w:pPr>
      <w:r>
        <w:t xml:space="preserve">broker credentials</w:t>
      </w:r>
    </w:p>
    <w:p>
      <w:pPr>
        <w:pStyle w:val="Compact"/>
        <w:numPr>
          <w:ilvl w:val="0"/>
          <w:numId w:val="1007"/>
        </w:numPr>
      </w:pPr>
      <w:r>
        <w:t xml:space="preserve">personal information</w:t>
      </w:r>
    </w:p>
    <w:p>
      <w:pPr>
        <w:pStyle w:val="FirstParagraph"/>
      </w:pPr>
      <w:r>
        <w:t xml:space="preserve">Sensitive values must always be masked or omitted.</w:t>
      </w:r>
    </w:p>
    <w:p>
      <w:r>
        <w:pict>
          <v:rect style="width:0;height:1.5pt" o:hralign="center" o:hrstd="t" o:hr="t"/>
        </w:pict>
      </w:r>
    </w:p>
    <w:bookmarkEnd w:id="18"/>
    <w:bookmarkStart w:id="19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Logging should:</w:t>
      </w:r>
    </w:p>
    <w:p>
      <w:pPr>
        <w:pStyle w:val="Compact"/>
        <w:numPr>
          <w:ilvl w:val="0"/>
          <w:numId w:val="1008"/>
        </w:numPr>
      </w:pPr>
      <w:r>
        <w:t xml:space="preserve">avoid unnecessary string formatting</w:t>
      </w:r>
    </w:p>
    <w:p>
      <w:pPr>
        <w:pStyle w:val="Compact"/>
        <w:numPr>
          <w:ilvl w:val="0"/>
          <w:numId w:val="1008"/>
        </w:numPr>
      </w:pPr>
      <w:r>
        <w:t xml:space="preserve">avoid excessive allocations</w:t>
      </w:r>
    </w:p>
    <w:p>
      <w:pPr>
        <w:pStyle w:val="Compact"/>
        <w:numPr>
          <w:ilvl w:val="0"/>
          <w:numId w:val="1008"/>
        </w:numPr>
      </w:pPr>
      <w:r>
        <w:t xml:space="preserve">remain efficient in high-frequency code paths</w:t>
      </w:r>
    </w:p>
    <w:p>
      <w:r>
        <w:pict>
          <v:rect style="width:0;height:1.5pt" o:hralign="center" o:hrstd="t" o:hr="t"/>
        </w:pict>
      </w:r>
    </w:p>
    <w:bookmarkEnd w:id="19"/>
    <w:bookmarkStart w:id="20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Logging configuration is managed centrally.</w:t>
      </w:r>
    </w:p>
    <w:p>
      <w:pPr>
        <w:pStyle w:val="BodyText"/>
      </w:pPr>
      <w:r>
        <w:t xml:space="preserve">Typical configuration includes:</w:t>
      </w:r>
    </w:p>
    <w:p>
      <w:pPr>
        <w:pStyle w:val="Compact"/>
        <w:numPr>
          <w:ilvl w:val="0"/>
          <w:numId w:val="1009"/>
        </w:numPr>
      </w:pPr>
      <w:r>
        <w:t xml:space="preserve">log level</w:t>
      </w:r>
    </w:p>
    <w:p>
      <w:pPr>
        <w:pStyle w:val="Compact"/>
        <w:numPr>
          <w:ilvl w:val="0"/>
          <w:numId w:val="1009"/>
        </w:numPr>
      </w:pPr>
      <w:r>
        <w:t xml:space="preserve">output destination</w:t>
      </w:r>
    </w:p>
    <w:p>
      <w:pPr>
        <w:pStyle w:val="Compact"/>
        <w:numPr>
          <w:ilvl w:val="0"/>
          <w:numId w:val="1009"/>
        </w:numPr>
      </w:pP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t xml:space="preserve">file rotation</w:t>
      </w:r>
    </w:p>
    <w:p>
      <w:pPr>
        <w:pStyle w:val="Compact"/>
        <w:numPr>
          <w:ilvl w:val="0"/>
          <w:numId w:val="1009"/>
        </w:numPr>
      </w:pPr>
      <w:r>
        <w:t xml:space="preserve">retention policy</w:t>
      </w:r>
    </w:p>
    <w:p>
      <w:r>
        <w:pict>
          <v:rect style="width:0;height:1.5pt" o:hralign="center" o:hrstd="t" o:hr="t"/>
        </w:pict>
      </w:r>
    </w:p>
    <w:bookmarkEnd w:id="20"/>
    <w:bookmarkStart w:id="21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Logging behaviour should be testable where appropriate.</w:t>
      </w:r>
    </w:p>
    <w:p>
      <w:pPr>
        <w:pStyle w:val="BodyText"/>
      </w:pPr>
      <w:r>
        <w:t xml:space="preserve">Critical logging paths should be covered by automated tests.</w:t>
      </w:r>
    </w:p>
    <w:p>
      <w:r>
        <w:pict>
          <v:rect style="width:0;height:1.5pt" o:hralign="center" o:hrstd="t" o:hr="t"/>
        </w:pict>
      </w:r>
    </w:p>
    <w:bookmarkEnd w:id="21"/>
    <w:bookmarkStart w:id="22" w:name="log-retention"/>
    <w:p>
      <w:pPr>
        <w:pStyle w:val="Heading1"/>
      </w:pPr>
      <w:r>
        <w:t xml:space="preserve">Log Retention</w:t>
      </w:r>
    </w:p>
    <w:p>
      <w:pPr>
        <w:pStyle w:val="FirstParagraph"/>
      </w:pPr>
      <w:r>
        <w:t xml:space="preserve">Log retention shall be configurable.</w:t>
      </w:r>
    </w:p>
    <w:p>
      <w:pPr>
        <w:pStyle w:val="BodyText"/>
      </w:pPr>
      <w:r>
        <w:t xml:space="preserve">Retention policies should define:</w:t>
      </w:r>
    </w:p>
    <w:p>
      <w:pPr>
        <w:pStyle w:val="Compact"/>
        <w:numPr>
          <w:ilvl w:val="0"/>
          <w:numId w:val="1010"/>
        </w:numPr>
      </w:pPr>
      <w:r>
        <w:t xml:space="preserve">retention period</w:t>
      </w:r>
    </w:p>
    <w:p>
      <w:pPr>
        <w:pStyle w:val="Compact"/>
        <w:numPr>
          <w:ilvl w:val="0"/>
          <w:numId w:val="1010"/>
        </w:numPr>
      </w:pPr>
      <w:r>
        <w:t xml:space="preserve">maximum file size</w:t>
      </w:r>
    </w:p>
    <w:p>
      <w:pPr>
        <w:pStyle w:val="Compact"/>
        <w:numPr>
          <w:ilvl w:val="0"/>
          <w:numId w:val="1010"/>
        </w:numPr>
      </w:pPr>
      <w:r>
        <w:t xml:space="preserve">rotation strategy</w:t>
      </w:r>
    </w:p>
    <w:p>
      <w:pPr>
        <w:pStyle w:val="Compact"/>
        <w:numPr>
          <w:ilvl w:val="0"/>
          <w:numId w:val="1010"/>
        </w:numPr>
      </w:pPr>
      <w:r>
        <w:t xml:space="preserve">archival rules</w:t>
      </w:r>
    </w:p>
    <w:p>
      <w:r>
        <w:pict>
          <v:rect style="width:0;height:1.5pt" o:hralign="center" o:hrstd="t" o:hr="t"/>
        </w:pict>
      </w:r>
    </w:p>
    <w:bookmarkEnd w:id="22"/>
    <w:bookmarkStart w:id="23" w:name="log-review-checklist"/>
    <w:p>
      <w:pPr>
        <w:pStyle w:val="Heading1"/>
      </w:pPr>
      <w:r>
        <w:t xml:space="preserve">Log Review Checklist</w:t>
      </w:r>
    </w:p>
    <w:p>
      <w:pPr>
        <w:pStyle w:val="FirstParagraph"/>
      </w:pPr>
      <w:r>
        <w:t xml:space="preserve">Before release verify:</w:t>
      </w:r>
    </w:p>
    <w:p>
      <w:pPr>
        <w:pStyle w:val="Compact"/>
        <w:numPr>
          <w:ilvl w:val="0"/>
          <w:numId w:val="1011"/>
        </w:numPr>
      </w:pPr>
      <w:r>
        <w:t xml:space="preserve">log levels are appropriate</w:t>
      </w:r>
    </w:p>
    <w:p>
      <w:pPr>
        <w:pStyle w:val="Compact"/>
        <w:numPr>
          <w:ilvl w:val="0"/>
          <w:numId w:val="1011"/>
        </w:numPr>
      </w:pPr>
      <w:r>
        <w:t xml:space="preserve">no duplicate logging</w:t>
      </w:r>
    </w:p>
    <w:p>
      <w:pPr>
        <w:pStyle w:val="Compact"/>
        <w:numPr>
          <w:ilvl w:val="0"/>
          <w:numId w:val="1011"/>
        </w:numPr>
      </w:pPr>
      <w:r>
        <w:t xml:space="preserve">no sensitive information logged</w:t>
      </w:r>
    </w:p>
    <w:p>
      <w:pPr>
        <w:pStyle w:val="Compact"/>
        <w:numPr>
          <w:ilvl w:val="0"/>
          <w:numId w:val="1011"/>
        </w:numPr>
      </w:pPr>
      <w:r>
        <w:t xml:space="preserve">structured context included where useful</w:t>
      </w:r>
    </w:p>
    <w:p>
      <w:pPr>
        <w:pStyle w:val="Compact"/>
        <w:numPr>
          <w:ilvl w:val="0"/>
          <w:numId w:val="1011"/>
        </w:numPr>
      </w:pPr>
      <w:r>
        <w:t xml:space="preserve">logging remains performant</w:t>
      </w:r>
    </w:p>
    <w:p>
      <w:r>
        <w:pict>
          <v:rect style="width:0;height:1.5pt" o:hralign="center" o:hrstd="t" o:hr="t"/>
        </w:pict>
      </w:r>
    </w:p>
    <w:bookmarkEnd w:id="23"/>
    <w:bookmarkStart w:id="24" w:name="audit-logging"/>
    <w:p>
      <w:pPr>
        <w:pStyle w:val="Heading1"/>
      </w:pPr>
      <w:r>
        <w:t xml:space="preserve">Audit Logging</w:t>
      </w:r>
    </w:p>
    <w:p>
      <w:pPr>
        <w:pStyle w:val="FirstParagraph"/>
      </w:pPr>
      <w:r>
        <w:t xml:space="preserve">Security and business-critical events should produce audit logs.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authentication events</w:t>
      </w:r>
    </w:p>
    <w:p>
      <w:pPr>
        <w:pStyle w:val="Compact"/>
        <w:numPr>
          <w:ilvl w:val="0"/>
          <w:numId w:val="1012"/>
        </w:numPr>
      </w:pPr>
      <w:r>
        <w:t xml:space="preserve">configuration changes</w:t>
      </w:r>
    </w:p>
    <w:p>
      <w:pPr>
        <w:pStyle w:val="Compact"/>
        <w:numPr>
          <w:ilvl w:val="0"/>
          <w:numId w:val="1012"/>
        </w:numPr>
      </w:pPr>
      <w:r>
        <w:t xml:space="preserve">order lifecycle events</w:t>
      </w:r>
    </w:p>
    <w:p>
      <w:pPr>
        <w:pStyle w:val="Compact"/>
        <w:numPr>
          <w:ilvl w:val="0"/>
          <w:numId w:val="1012"/>
        </w:numPr>
      </w:pPr>
      <w:r>
        <w:t xml:space="preserve">permission changes</w:t>
      </w:r>
    </w:p>
    <w:p>
      <w:pPr>
        <w:pStyle w:val="FirstParagraph"/>
      </w:pPr>
      <w:r>
        <w:t xml:space="preserve">Audit logs should be immutable where practical.</w:t>
      </w:r>
    </w:p>
    <w:p>
      <w:r>
        <w:pict>
          <v:rect style="width:0;height:1.5pt" o:hralign="center" o:hrstd="t" o:hr="t"/>
        </w:pict>
      </w:r>
    </w:p>
    <w:bookmarkEnd w:id="24"/>
    <w:bookmarkStart w:id="25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13"/>
        </w:numPr>
      </w:pPr>
      <w:r>
        <w:t xml:space="preserve">Runtime.md</w:t>
      </w:r>
    </w:p>
    <w:p>
      <w:pPr>
        <w:pStyle w:val="Compact"/>
        <w:numPr>
          <w:ilvl w:val="0"/>
          <w:numId w:val="1013"/>
        </w:numPr>
      </w:pPr>
      <w:r>
        <w:t xml:space="preserve">Configuration.md</w:t>
      </w:r>
    </w:p>
    <w:p>
      <w:pPr>
        <w:pStyle w:val="Compact"/>
        <w:numPr>
          <w:ilvl w:val="0"/>
          <w:numId w:val="1013"/>
        </w:numPr>
      </w:pPr>
      <w:r>
        <w:t xml:space="preserve">Monitoring.md</w:t>
      </w:r>
    </w:p>
    <w:p>
      <w:pPr>
        <w:pStyle w:val="Compact"/>
        <w:numPr>
          <w:ilvl w:val="0"/>
          <w:numId w:val="1013"/>
        </w:numPr>
      </w:pPr>
      <w:r>
        <w:t xml:space="preserve">Architecture.md</w:t>
      </w:r>
    </w:p>
    <w:p>
      <w:pPr>
        <w:pStyle w:val="Compact"/>
        <w:numPr>
          <w:ilvl w:val="0"/>
          <w:numId w:val="1013"/>
        </w:numPr>
      </w:pPr>
      <w:r>
        <w:t xml:space="preserve">AGENTS.md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2026-07-03T13:04:04Z</dcterms:created>
  <dcterms:modified xsi:type="dcterms:W3CDTF">2026-07-03T13:04:04Z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