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ui-guidelines"/>
    <w:p>
      <w:pPr>
        <w:pStyle w:val="Heading1"/>
      </w:pPr>
      <w:r>
        <w:t xml:space="preserve">UI Guidelines</w:t>
      </w:r>
    </w:p>
    <w:p>
      <w:pPr>
        <w:pStyle w:val="FirstParagraph"/>
      </w:pPr>
      <w:r>
        <w:t xml:space="preserve">Version: 1.0</w:t>
      </w:r>
    </w:p>
    <w:p>
      <w:r>
        <w:pict>
          <v:rect style="width:0;height:1.5pt" o:hralign="center" o:hrstd="t" o:hr="t"/>
        </w:pict>
      </w:r>
    </w:p>
    <w:bookmarkEnd w:id="9"/>
    <w:bookmarkStart w:id="10" w:name="purpose"/>
    <w:p>
      <w:pPr>
        <w:pStyle w:val="Heading1"/>
      </w:pPr>
      <w:r>
        <w:t xml:space="preserve">Purpose</w:t>
      </w:r>
    </w:p>
    <w:p>
      <w:pPr>
        <w:pStyle w:val="FirstParagraph"/>
      </w:pPr>
      <w:r>
        <w:t xml:space="preserve">This document defines the user interface guidelines for Trading Platform Pro and the Trading Cockpit.</w:t>
      </w:r>
    </w:p>
    <w:p>
      <w:pPr>
        <w:pStyle w:val="BodyText"/>
      </w:pPr>
      <w:r>
        <w:t xml:space="preserve">The objective is to provide a consistent, intuitive and professional user experience.</w:t>
      </w:r>
    </w:p>
    <w:p>
      <w:r>
        <w:pict>
          <v:rect style="width:0;height:1.5pt" o:hralign="center" o:hrstd="t" o:hr="t"/>
        </w:pict>
      </w:r>
    </w:p>
    <w:bookmarkEnd w:id="10"/>
    <w:bookmarkStart w:id="11" w:name="design-principles"/>
    <w:p>
      <w:pPr>
        <w:pStyle w:val="Heading1"/>
      </w:pPr>
      <w:r>
        <w:t xml:space="preserve">Design Principles</w:t>
      </w:r>
    </w:p>
    <w:p>
      <w:pPr>
        <w:pStyle w:val="Compact"/>
        <w:numPr>
          <w:ilvl w:val="0"/>
          <w:numId w:val="1001"/>
        </w:numPr>
      </w:pPr>
      <w:r>
        <w:t xml:space="preserve">Consistency</w:t>
      </w:r>
    </w:p>
    <w:p>
      <w:pPr>
        <w:pStyle w:val="Compact"/>
        <w:numPr>
          <w:ilvl w:val="0"/>
          <w:numId w:val="1001"/>
        </w:numPr>
      </w:pPr>
      <w:r>
        <w:t xml:space="preserve">Simplicity</w:t>
      </w:r>
    </w:p>
    <w:p>
      <w:pPr>
        <w:pStyle w:val="Compact"/>
        <w:numPr>
          <w:ilvl w:val="0"/>
          <w:numId w:val="1001"/>
        </w:numPr>
      </w:pPr>
      <w:r>
        <w:t xml:space="preserve">Clarity</w:t>
      </w:r>
    </w:p>
    <w:p>
      <w:pPr>
        <w:pStyle w:val="Compact"/>
        <w:numPr>
          <w:ilvl w:val="0"/>
          <w:numId w:val="1001"/>
        </w:numPr>
      </w:pPr>
      <w:r>
        <w:t xml:space="preserve">Efficiency</w:t>
      </w:r>
    </w:p>
    <w:p>
      <w:pPr>
        <w:pStyle w:val="Compact"/>
        <w:numPr>
          <w:ilvl w:val="0"/>
          <w:numId w:val="1001"/>
        </w:numPr>
      </w:pPr>
      <w:r>
        <w:t xml:space="preserve">Accessibility</w:t>
      </w:r>
    </w:p>
    <w:p>
      <w:pPr>
        <w:pStyle w:val="Compact"/>
        <w:numPr>
          <w:ilvl w:val="0"/>
          <w:numId w:val="1001"/>
        </w:numPr>
      </w:pPr>
      <w:r>
        <w:t xml:space="preserve">Responsiveness</w:t>
      </w:r>
    </w:p>
    <w:p>
      <w:r>
        <w:pict>
          <v:rect style="width:0;height:1.5pt" o:hralign="center" o:hrstd="t" o:hr="t"/>
        </w:pict>
      </w:r>
    </w:p>
    <w:bookmarkEnd w:id="11"/>
    <w:bookmarkStart w:id="12" w:name="layout"/>
    <w:p>
      <w:pPr>
        <w:pStyle w:val="Heading1"/>
      </w:pPr>
      <w:r>
        <w:t xml:space="preserve">Layout</w:t>
      </w:r>
    </w:p>
    <w:p>
      <w:pPr>
        <w:pStyle w:val="FirstParagraph"/>
      </w:pPr>
      <w:r>
        <w:t xml:space="preserve">The Trading Cockpit uses a dockable workspace layout.</w:t>
      </w:r>
    </w:p>
    <w:p>
      <w:pPr>
        <w:pStyle w:val="BodyText"/>
      </w:pPr>
      <w:r>
        <w:t xml:space="preserve">Main areas:</w:t>
      </w:r>
    </w:p>
    <w:p>
      <w:pPr>
        <w:pStyle w:val="Compact"/>
        <w:numPr>
          <w:ilvl w:val="0"/>
          <w:numId w:val="1002"/>
        </w:numPr>
      </w:pPr>
      <w:r>
        <w:t xml:space="preserve">Navigation</w:t>
      </w:r>
    </w:p>
    <w:p>
      <w:pPr>
        <w:pStyle w:val="Compact"/>
        <w:numPr>
          <w:ilvl w:val="0"/>
          <w:numId w:val="1002"/>
        </w:numPr>
      </w:pPr>
      <w:r>
        <w:t xml:space="preserve">Workspace</w:t>
      </w:r>
    </w:p>
    <w:p>
      <w:pPr>
        <w:pStyle w:val="Compact"/>
        <w:numPr>
          <w:ilvl w:val="0"/>
          <w:numId w:val="1002"/>
        </w:numPr>
      </w:pPr>
      <w:r>
        <w:t xml:space="preserve">Side Panels</w:t>
      </w:r>
    </w:p>
    <w:p>
      <w:pPr>
        <w:pStyle w:val="Compact"/>
        <w:numPr>
          <w:ilvl w:val="0"/>
          <w:numId w:val="1002"/>
        </w:numPr>
      </w:pPr>
      <w:r>
        <w:t xml:space="preserve">Status Bar</w:t>
      </w:r>
    </w:p>
    <w:p>
      <w:pPr>
        <w:pStyle w:val="Compact"/>
        <w:numPr>
          <w:ilvl w:val="0"/>
          <w:numId w:val="1002"/>
        </w:numPr>
      </w:pPr>
      <w:r>
        <w:t xml:space="preserve">Notifications</w:t>
      </w:r>
    </w:p>
    <w:p>
      <w:r>
        <w:pict>
          <v:rect style="width:0;height:1.5pt" o:hralign="center" o:hrstd="t" o:hr="t"/>
        </w:pict>
      </w:r>
    </w:p>
    <w:bookmarkEnd w:id="12"/>
    <w:bookmarkStart w:id="13" w:name="widget-design"/>
    <w:p>
      <w:pPr>
        <w:pStyle w:val="Heading1"/>
      </w:pPr>
      <w:r>
        <w:t xml:space="preserve">Widget Design</w:t>
      </w:r>
    </w:p>
    <w:p>
      <w:pPr>
        <w:pStyle w:val="FirstParagraph"/>
      </w:pPr>
      <w:r>
        <w:t xml:space="preserve">Every widget shall:</w:t>
      </w:r>
    </w:p>
    <w:p>
      <w:pPr>
        <w:pStyle w:val="Compact"/>
        <w:numPr>
          <w:ilvl w:val="0"/>
          <w:numId w:val="1003"/>
        </w:numPr>
      </w:pPr>
      <w:r>
        <w:t xml:space="preserve">have a clear title</w:t>
      </w:r>
    </w:p>
    <w:p>
      <w:pPr>
        <w:pStyle w:val="Compact"/>
        <w:numPr>
          <w:ilvl w:val="0"/>
          <w:numId w:val="1003"/>
        </w:numPr>
      </w:pPr>
      <w:r>
        <w:t xml:space="preserve">support resizing</w:t>
      </w:r>
    </w:p>
    <w:p>
      <w:pPr>
        <w:pStyle w:val="Compact"/>
        <w:numPr>
          <w:ilvl w:val="0"/>
          <w:numId w:val="1003"/>
        </w:numPr>
      </w:pPr>
      <w:r>
        <w:t xml:space="preserve">support docking</w:t>
      </w:r>
    </w:p>
    <w:p>
      <w:pPr>
        <w:pStyle w:val="Compact"/>
        <w:numPr>
          <w:ilvl w:val="0"/>
          <w:numId w:val="1003"/>
        </w:numPr>
      </w:pPr>
      <w:r>
        <w:t xml:space="preserve">support state persistence</w:t>
      </w:r>
    </w:p>
    <w:p>
      <w:pPr>
        <w:pStyle w:val="Compact"/>
        <w:numPr>
          <w:ilvl w:val="0"/>
          <w:numId w:val="1003"/>
        </w:numPr>
      </w:pPr>
      <w:r>
        <w:t xml:space="preserve">remain independently usable</w:t>
      </w:r>
    </w:p>
    <w:p>
      <w:r>
        <w:pict>
          <v:rect style="width:0;height:1.5pt" o:hralign="center" o:hrstd="t" o:hr="t"/>
        </w:pict>
      </w:r>
    </w:p>
    <w:bookmarkEnd w:id="13"/>
    <w:bookmarkStart w:id="14" w:name="navigation"/>
    <w:p>
      <w:pPr>
        <w:pStyle w:val="Heading1"/>
      </w:pPr>
      <w:r>
        <w:t xml:space="preserve">Navigation</w:t>
      </w:r>
    </w:p>
    <w:p>
      <w:pPr>
        <w:pStyle w:val="FirstParagraph"/>
      </w:pPr>
      <w:r>
        <w:t xml:space="preserve">Navigation should:</w:t>
      </w:r>
    </w:p>
    <w:p>
      <w:pPr>
        <w:pStyle w:val="Compact"/>
        <w:numPr>
          <w:ilvl w:val="0"/>
          <w:numId w:val="1004"/>
        </w:numPr>
      </w:pPr>
      <w:r>
        <w:t xml:space="preserve">minimize clicks</w:t>
      </w:r>
    </w:p>
    <w:p>
      <w:pPr>
        <w:pStyle w:val="Compact"/>
        <w:numPr>
          <w:ilvl w:val="0"/>
          <w:numId w:val="1004"/>
        </w:numPr>
      </w:pPr>
      <w:r>
        <w:t xml:space="preserve">provide keyboard shortcuts</w:t>
      </w:r>
    </w:p>
    <w:p>
      <w:pPr>
        <w:pStyle w:val="Compact"/>
        <w:numPr>
          <w:ilvl w:val="0"/>
          <w:numId w:val="1004"/>
        </w:numPr>
      </w:pPr>
      <w:r>
        <w:t xml:space="preserve">support Command Palette</w:t>
      </w:r>
    </w:p>
    <w:p>
      <w:pPr>
        <w:pStyle w:val="Compact"/>
        <w:numPr>
          <w:ilvl w:val="0"/>
          <w:numId w:val="1004"/>
        </w:numPr>
      </w:pPr>
      <w:r>
        <w:t xml:space="preserve">preserve user context</w:t>
      </w:r>
    </w:p>
    <w:p>
      <w:r>
        <w:pict>
          <v:rect style="width:0;height:1.5pt" o:hralign="center" o:hrstd="t" o:hr="t"/>
        </w:pict>
      </w:r>
    </w:p>
    <w:bookmarkEnd w:id="14"/>
    <w:bookmarkStart w:id="15" w:name="visual-design"/>
    <w:p>
      <w:pPr>
        <w:pStyle w:val="Heading1"/>
      </w:pPr>
      <w:r>
        <w:t xml:space="preserve">Visual Design</w:t>
      </w:r>
    </w:p>
    <w:p>
      <w:pPr>
        <w:pStyle w:val="Compact"/>
        <w:numPr>
          <w:ilvl w:val="0"/>
          <w:numId w:val="1005"/>
        </w:numPr>
      </w:pPr>
      <w:r>
        <w:t xml:space="preserve">Consistent spacing</w:t>
      </w:r>
    </w:p>
    <w:p>
      <w:pPr>
        <w:pStyle w:val="Compact"/>
        <w:numPr>
          <w:ilvl w:val="0"/>
          <w:numId w:val="1005"/>
        </w:numPr>
      </w:pPr>
      <w:r>
        <w:t xml:space="preserve">Consistent typography</w:t>
      </w:r>
    </w:p>
    <w:p>
      <w:pPr>
        <w:pStyle w:val="Compact"/>
        <w:numPr>
          <w:ilvl w:val="0"/>
          <w:numId w:val="1005"/>
        </w:numPr>
      </w:pPr>
      <w:r>
        <w:t xml:space="preserve">Semantic colors</w:t>
      </w:r>
    </w:p>
    <w:p>
      <w:pPr>
        <w:pStyle w:val="Compact"/>
        <w:numPr>
          <w:ilvl w:val="0"/>
          <w:numId w:val="1005"/>
        </w:numPr>
      </w:pPr>
      <w:r>
        <w:t xml:space="preserve">Light and Dark Theme support</w:t>
      </w:r>
    </w:p>
    <w:p>
      <w:pPr>
        <w:pStyle w:val="Compact"/>
        <w:numPr>
          <w:ilvl w:val="0"/>
          <w:numId w:val="1005"/>
        </w:numPr>
      </w:pPr>
      <w:r>
        <w:t xml:space="preserve">High information density without clutter</w:t>
      </w:r>
    </w:p>
    <w:p>
      <w:r>
        <w:pict>
          <v:rect style="width:0;height:1.5pt" o:hralign="center" o:hrstd="t" o:hr="t"/>
        </w:pict>
      </w:r>
    </w:p>
    <w:bookmarkEnd w:id="15"/>
    <w:bookmarkStart w:id="16" w:name="user-interaction"/>
    <w:p>
      <w:pPr>
        <w:pStyle w:val="Heading1"/>
      </w:pPr>
      <w:r>
        <w:t xml:space="preserve">User Interaction</w:t>
      </w:r>
    </w:p>
    <w:p>
      <w:pPr>
        <w:pStyle w:val="FirstParagraph"/>
      </w:pPr>
      <w:r>
        <w:t xml:space="preserve">Support:</w:t>
      </w:r>
    </w:p>
    <w:p>
      <w:pPr>
        <w:pStyle w:val="Compact"/>
        <w:numPr>
          <w:ilvl w:val="0"/>
          <w:numId w:val="1006"/>
        </w:numPr>
      </w:pPr>
      <w:r>
        <w:t xml:space="preserve">Drag &amp; Drop</w:t>
      </w:r>
    </w:p>
    <w:p>
      <w:pPr>
        <w:pStyle w:val="Compact"/>
        <w:numPr>
          <w:ilvl w:val="0"/>
          <w:numId w:val="1006"/>
        </w:numPr>
      </w:pPr>
      <w:r>
        <w:t xml:space="preserve">Context Menus</w:t>
      </w:r>
    </w:p>
    <w:p>
      <w:pPr>
        <w:pStyle w:val="Compact"/>
        <w:numPr>
          <w:ilvl w:val="0"/>
          <w:numId w:val="1006"/>
        </w:numPr>
      </w:pPr>
      <w:r>
        <w:t xml:space="preserve">Keyboard Navigation</w:t>
      </w:r>
    </w:p>
    <w:p>
      <w:pPr>
        <w:pStyle w:val="Compact"/>
        <w:numPr>
          <w:ilvl w:val="0"/>
          <w:numId w:val="1006"/>
        </w:numPr>
      </w:pPr>
      <w:r>
        <w:t xml:space="preserve">Multi-selection</w:t>
      </w:r>
    </w:p>
    <w:p>
      <w:pPr>
        <w:pStyle w:val="Compact"/>
        <w:numPr>
          <w:ilvl w:val="0"/>
          <w:numId w:val="1006"/>
        </w:numPr>
      </w:pPr>
      <w:r>
        <w:t xml:space="preserve">Undo where appropriate</w:t>
      </w:r>
    </w:p>
    <w:p>
      <w:r>
        <w:pict>
          <v:rect style="width:0;height:1.5pt" o:hralign="center" o:hrstd="t" o:hr="t"/>
        </w:pict>
      </w:r>
    </w:p>
    <w:bookmarkEnd w:id="16"/>
    <w:bookmarkStart w:id="17" w:name="performance"/>
    <w:p>
      <w:pPr>
        <w:pStyle w:val="Heading1"/>
      </w:pPr>
      <w:r>
        <w:t xml:space="preserve">Performance</w:t>
      </w:r>
    </w:p>
    <w:p>
      <w:pPr>
        <w:pStyle w:val="FirstParagraph"/>
      </w:pPr>
      <w:r>
        <w:t xml:space="preserve">The UI should:</w:t>
      </w:r>
    </w:p>
    <w:p>
      <w:pPr>
        <w:pStyle w:val="Compact"/>
        <w:numPr>
          <w:ilvl w:val="0"/>
          <w:numId w:val="1007"/>
        </w:numPr>
      </w:pPr>
      <w:r>
        <w:t xml:space="preserve">remain responsive</w:t>
      </w:r>
    </w:p>
    <w:p>
      <w:pPr>
        <w:pStyle w:val="Compact"/>
        <w:numPr>
          <w:ilvl w:val="0"/>
          <w:numId w:val="1007"/>
        </w:numPr>
      </w:pPr>
      <w:r>
        <w:t xml:space="preserve">avoid blocking operations</w:t>
      </w:r>
    </w:p>
    <w:p>
      <w:pPr>
        <w:pStyle w:val="Compact"/>
        <w:numPr>
          <w:ilvl w:val="0"/>
          <w:numId w:val="1007"/>
        </w:numPr>
      </w:pPr>
      <w:r>
        <w:t xml:space="preserve">load widgets independently</w:t>
      </w:r>
    </w:p>
    <w:p>
      <w:pPr>
        <w:pStyle w:val="Compact"/>
        <w:numPr>
          <w:ilvl w:val="0"/>
          <w:numId w:val="1007"/>
        </w:numPr>
      </w:pPr>
      <w:r>
        <w:t xml:space="preserve">provide progress feedback</w:t>
      </w:r>
    </w:p>
    <w:p>
      <w:r>
        <w:pict>
          <v:rect style="width:0;height:1.5pt" o:hralign="center" o:hrstd="t" o:hr="t"/>
        </w:pict>
      </w:r>
    </w:p>
    <w:bookmarkEnd w:id="17"/>
    <w:bookmarkStart w:id="18" w:name="accessibility"/>
    <w:p>
      <w:pPr>
        <w:pStyle w:val="Heading1"/>
      </w:pPr>
      <w:r>
        <w:t xml:space="preserve">Accessibility</w:t>
      </w:r>
    </w:p>
    <w:p>
      <w:pPr>
        <w:pStyle w:val="FirstParagraph"/>
      </w:pPr>
      <w:r>
        <w:t xml:space="preserve">Support:</w:t>
      </w:r>
    </w:p>
    <w:p>
      <w:pPr>
        <w:pStyle w:val="Compact"/>
        <w:numPr>
          <w:ilvl w:val="0"/>
          <w:numId w:val="1008"/>
        </w:numPr>
      </w:pPr>
      <w:r>
        <w:t xml:space="preserve">keyboard-only operation</w:t>
      </w:r>
    </w:p>
    <w:p>
      <w:pPr>
        <w:pStyle w:val="Compact"/>
        <w:numPr>
          <w:ilvl w:val="0"/>
          <w:numId w:val="1008"/>
        </w:numPr>
      </w:pPr>
      <w:r>
        <w:t xml:space="preserve">scalable fonts</w:t>
      </w:r>
    </w:p>
    <w:p>
      <w:pPr>
        <w:pStyle w:val="Compact"/>
        <w:numPr>
          <w:ilvl w:val="0"/>
          <w:numId w:val="1008"/>
        </w:numPr>
      </w:pPr>
      <w:r>
        <w:t xml:space="preserve">high contrast themes</w:t>
      </w:r>
    </w:p>
    <w:p>
      <w:pPr>
        <w:pStyle w:val="Compact"/>
        <w:numPr>
          <w:ilvl w:val="0"/>
          <w:numId w:val="1008"/>
        </w:numPr>
      </w:pPr>
      <w:r>
        <w:t xml:space="preserve">screen reader compatibility where practical</w:t>
      </w:r>
    </w:p>
    <w:p>
      <w:r>
        <w:pict>
          <v:rect style="width:0;height:1.5pt" o:hralign="center" o:hrstd="t" o:hr="t"/>
        </w:pict>
      </w:r>
    </w:p>
    <w:bookmarkEnd w:id="18"/>
    <w:bookmarkStart w:id="19" w:name="related-documents"/>
    <w:p>
      <w:pPr>
        <w:pStyle w:val="Heading1"/>
      </w:pPr>
      <w:r>
        <w:t xml:space="preserve">Related Documents</w:t>
      </w:r>
    </w:p>
    <w:p>
      <w:pPr>
        <w:pStyle w:val="Compact"/>
        <w:numPr>
          <w:ilvl w:val="0"/>
          <w:numId w:val="1009"/>
        </w:numPr>
      </w:pPr>
      <w:r>
        <w:t xml:space="preserve">Widget_Catalog.md</w:t>
      </w:r>
    </w:p>
    <w:p>
      <w:pPr>
        <w:pStyle w:val="Compact"/>
        <w:numPr>
          <w:ilvl w:val="0"/>
          <w:numId w:val="1009"/>
        </w:numPr>
      </w:pPr>
      <w:r>
        <w:t xml:space="preserve">Product_Vision.md</w:t>
      </w:r>
    </w:p>
    <w:p>
      <w:pPr>
        <w:pStyle w:val="Compact"/>
        <w:numPr>
          <w:ilvl w:val="0"/>
          <w:numId w:val="1009"/>
        </w:numPr>
      </w:pPr>
      <w:r>
        <w:t xml:space="preserve">Technical_Specifications.md</w:t>
      </w:r>
    </w:p>
    <w:bookmarkEnd w:id="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2026-07-03T13:04:06Z</dcterms:created>
  <dcterms:modified xsi:type="dcterms:W3CDTF">2026-07-03T13:04:06Z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