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omain-model"/>
    <w:p>
      <w:pPr>
        <w:pStyle w:val="Heading1"/>
      </w:pPr>
      <w:r>
        <w:t xml:space="preserve">Domain Model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document describes the business domain of Trading Platform Pro.</w:t>
      </w:r>
    </w:p>
    <w:p>
      <w:pPr>
        <w:pStyle w:val="BodyText"/>
      </w:pPr>
      <w:r>
        <w:t xml:space="preserve">The Domain Model represents the core business concepts of the platform and remains independent from technical implementation details.</w:t>
      </w:r>
    </w:p>
    <w:p>
      <w:r>
        <w:pict>
          <v:rect style="width:0;height:1.5pt" o:hralign="center" o:hrstd="t" o:hr="t"/>
        </w:pict>
      </w:r>
    </w:p>
    <w:bookmarkEnd w:id="10"/>
    <w:bookmarkStart w:id="11" w:name="domain-philosophy"/>
    <w:p>
      <w:pPr>
        <w:pStyle w:val="Heading1"/>
      </w:pPr>
      <w:r>
        <w:t xml:space="preserve">Domain Philosophy</w:t>
      </w:r>
    </w:p>
    <w:p>
      <w:pPr>
        <w:pStyle w:val="FirstParagraph"/>
      </w:pPr>
      <w:r>
        <w:t xml:space="preserve">The Domain layer contains the business knowledge of the application.</w:t>
      </w:r>
    </w:p>
    <w:p>
      <w:pPr>
        <w:pStyle w:val="BodyText"/>
      </w:pPr>
      <w:r>
        <w:t xml:space="preserve">It defines:</w:t>
      </w:r>
    </w:p>
    <w:p>
      <w:pPr>
        <w:pStyle w:val="Compact"/>
        <w:numPr>
          <w:ilvl w:val="0"/>
          <w:numId w:val="1001"/>
        </w:numPr>
      </w:pPr>
      <w:r>
        <w:t xml:space="preserve">business entities</w:t>
      </w:r>
    </w:p>
    <w:p>
      <w:pPr>
        <w:pStyle w:val="Compact"/>
        <w:numPr>
          <w:ilvl w:val="0"/>
          <w:numId w:val="1001"/>
        </w:numPr>
      </w:pPr>
      <w:r>
        <w:t xml:space="preserve">business rules</w:t>
      </w:r>
    </w:p>
    <w:p>
      <w:pPr>
        <w:pStyle w:val="Compact"/>
        <w:numPr>
          <w:ilvl w:val="0"/>
          <w:numId w:val="1001"/>
        </w:numPr>
      </w:pPr>
      <w:r>
        <w:t xml:space="preserve">value objects</w:t>
      </w:r>
    </w:p>
    <w:p>
      <w:pPr>
        <w:pStyle w:val="Compact"/>
        <w:numPr>
          <w:ilvl w:val="0"/>
          <w:numId w:val="1001"/>
        </w:numPr>
      </w:pPr>
      <w:r>
        <w:t xml:space="preserve">aggregates</w:t>
      </w:r>
    </w:p>
    <w:p>
      <w:pPr>
        <w:pStyle w:val="Compact"/>
        <w:numPr>
          <w:ilvl w:val="0"/>
          <w:numId w:val="1001"/>
        </w:numPr>
      </w:pPr>
      <w:r>
        <w:t xml:space="preserve">domain services</w:t>
      </w:r>
    </w:p>
    <w:p>
      <w:pPr>
        <w:pStyle w:val="Compact"/>
        <w:numPr>
          <w:ilvl w:val="0"/>
          <w:numId w:val="1001"/>
        </w:numPr>
      </w:pPr>
      <w:r>
        <w:t xml:space="preserve">domain events</w:t>
      </w:r>
    </w:p>
    <w:p>
      <w:pPr>
        <w:pStyle w:val="FirstParagraph"/>
      </w:pPr>
      <w:r>
        <w:t xml:space="preserve">No infrastructure concerns are allowed inside the Domain.</w:t>
      </w:r>
    </w:p>
    <w:p>
      <w:r>
        <w:pict>
          <v:rect style="width:0;height:1.5pt" o:hralign="center" o:hrstd="t" o:hr="t"/>
        </w:pict>
      </w:r>
    </w:p>
    <w:bookmarkEnd w:id="11"/>
    <w:bookmarkStart w:id="12" w:name="core-domains"/>
    <w:p>
      <w:pPr>
        <w:pStyle w:val="Heading1"/>
      </w:pPr>
      <w:r>
        <w:t xml:space="preserve">Core Domains</w:t>
      </w:r>
    </w:p>
    <w:p>
      <w:pPr>
        <w:pStyle w:val="FirstParagraph"/>
      </w:pPr>
      <w:r>
        <w:t xml:space="preserve">Trading Platform Pro consists of several bounded domains.</w:t>
      </w:r>
    </w:p>
    <w:p>
      <w:pPr>
        <w:pStyle w:val="BodyText"/>
      </w:pPr>
      <w:r>
        <w:t xml:space="preserve">Major domains include:</w:t>
      </w:r>
    </w:p>
    <w:p>
      <w:pPr>
        <w:pStyle w:val="Compact"/>
        <w:numPr>
          <w:ilvl w:val="0"/>
          <w:numId w:val="1002"/>
        </w:numPr>
      </w:pPr>
      <w:r>
        <w:t xml:space="preserve">Market</w:t>
      </w:r>
    </w:p>
    <w:p>
      <w:pPr>
        <w:pStyle w:val="Compact"/>
        <w:numPr>
          <w:ilvl w:val="0"/>
          <w:numId w:val="1002"/>
        </w:numPr>
      </w:pPr>
      <w:r>
        <w:t xml:space="preserve">Trading</w:t>
      </w:r>
    </w:p>
    <w:p>
      <w:pPr>
        <w:pStyle w:val="Compact"/>
        <w:numPr>
          <w:ilvl w:val="0"/>
          <w:numId w:val="1002"/>
        </w:numPr>
      </w:pPr>
      <w:r>
        <w:t xml:space="preserve">Portfolio</w:t>
      </w:r>
    </w:p>
    <w:p>
      <w:pPr>
        <w:pStyle w:val="Compact"/>
        <w:numPr>
          <w:ilvl w:val="0"/>
          <w:numId w:val="1002"/>
        </w:numPr>
      </w:pPr>
      <w:r>
        <w:t xml:space="preserve">Risk</w:t>
      </w:r>
    </w:p>
    <w:p>
      <w:pPr>
        <w:pStyle w:val="Compact"/>
        <w:numPr>
          <w:ilvl w:val="0"/>
          <w:numId w:val="1002"/>
        </w:numPr>
      </w:pPr>
      <w:r>
        <w:t xml:space="preserve">Orders</w:t>
      </w:r>
    </w:p>
    <w:p>
      <w:pPr>
        <w:pStyle w:val="Compact"/>
        <w:numPr>
          <w:ilvl w:val="0"/>
          <w:numId w:val="1002"/>
        </w:numPr>
      </w:pPr>
      <w:r>
        <w:t xml:space="preserve">Positions</w:t>
      </w:r>
    </w:p>
    <w:p>
      <w:pPr>
        <w:pStyle w:val="Compact"/>
        <w:numPr>
          <w:ilvl w:val="0"/>
          <w:numId w:val="1002"/>
        </w:numPr>
      </w:pPr>
      <w:r>
        <w:t xml:space="preserve">Strategies</w:t>
      </w:r>
    </w:p>
    <w:p>
      <w:pPr>
        <w:pStyle w:val="Compact"/>
        <w:numPr>
          <w:ilvl w:val="0"/>
          <w:numId w:val="1002"/>
        </w:numPr>
      </w:pPr>
      <w:r>
        <w:t xml:space="preserve">Reporting</w:t>
      </w:r>
    </w:p>
    <w:p>
      <w:pPr>
        <w:pStyle w:val="Compact"/>
        <w:numPr>
          <w:ilvl w:val="0"/>
          <w:numId w:val="1002"/>
        </w:numPr>
      </w:pPr>
      <w:r>
        <w:t xml:space="preserve">Configuration</w:t>
      </w:r>
    </w:p>
    <w:p>
      <w:pPr>
        <w:pStyle w:val="Compact"/>
        <w:numPr>
          <w:ilvl w:val="0"/>
          <w:numId w:val="1002"/>
        </w:numPr>
      </w:pPr>
      <w:r>
        <w:t xml:space="preserve">Decision Center</w:t>
      </w:r>
    </w:p>
    <w:p>
      <w:pPr>
        <w:pStyle w:val="FirstParagraph"/>
      </w:pPr>
      <w:r>
        <w:t xml:space="preserve">Each domain evolves independently while following common architectural principles.</w:t>
      </w:r>
    </w:p>
    <w:p>
      <w:r>
        <w:pict>
          <v:rect style="width:0;height:1.5pt" o:hralign="center" o:hrstd="t" o:hr="t"/>
        </w:pict>
      </w:r>
    </w:p>
    <w:bookmarkEnd w:id="12"/>
    <w:bookmarkStart w:id="13" w:name="main-business-entities"/>
    <w:p>
      <w:pPr>
        <w:pStyle w:val="Heading1"/>
      </w:pPr>
      <w:r>
        <w:t xml:space="preserve">Main Business Entities</w:t>
      </w:r>
    </w:p>
    <w:p>
      <w:pPr>
        <w:pStyle w:val="FirstParagraph"/>
      </w:pPr>
      <w:r>
        <w:t xml:space="preserve">Examples of entities:</w:t>
      </w:r>
    </w:p>
    <w:p>
      <w:pPr>
        <w:pStyle w:val="Compact"/>
        <w:numPr>
          <w:ilvl w:val="0"/>
          <w:numId w:val="1003"/>
        </w:numPr>
      </w:pPr>
      <w:r>
        <w:t xml:space="preserve">Account</w:t>
      </w:r>
    </w:p>
    <w:p>
      <w:pPr>
        <w:pStyle w:val="Compact"/>
        <w:numPr>
          <w:ilvl w:val="0"/>
          <w:numId w:val="1003"/>
        </w:numPr>
      </w:pPr>
      <w:r>
        <w:t xml:space="preserve">Portfolio</w:t>
      </w:r>
    </w:p>
    <w:p>
      <w:pPr>
        <w:pStyle w:val="Compact"/>
        <w:numPr>
          <w:ilvl w:val="0"/>
          <w:numId w:val="1003"/>
        </w:numPr>
      </w:pPr>
      <w:r>
        <w:t xml:space="preserve">Position</w:t>
      </w:r>
    </w:p>
    <w:p>
      <w:pPr>
        <w:pStyle w:val="Compact"/>
        <w:numPr>
          <w:ilvl w:val="0"/>
          <w:numId w:val="1003"/>
        </w:numPr>
      </w:pPr>
      <w:r>
        <w:t xml:space="preserve">Order</w:t>
      </w:r>
    </w:p>
    <w:p>
      <w:pPr>
        <w:pStyle w:val="Compact"/>
        <w:numPr>
          <w:ilvl w:val="0"/>
          <w:numId w:val="1003"/>
        </w:numPr>
      </w:pPr>
      <w:r>
        <w:t xml:space="preserve">Trade</w:t>
      </w:r>
    </w:p>
    <w:p>
      <w:pPr>
        <w:pStyle w:val="Compact"/>
        <w:numPr>
          <w:ilvl w:val="0"/>
          <w:numId w:val="1003"/>
        </w:numPr>
      </w:pPr>
      <w:r>
        <w:t xml:space="preserve">Instrument</w:t>
      </w:r>
    </w:p>
    <w:p>
      <w:pPr>
        <w:pStyle w:val="Compact"/>
        <w:numPr>
          <w:ilvl w:val="0"/>
          <w:numId w:val="1003"/>
        </w:numPr>
      </w:pPr>
      <w:r>
        <w:t xml:space="preserve">Strategy</w:t>
      </w:r>
    </w:p>
    <w:p>
      <w:pPr>
        <w:pStyle w:val="Compact"/>
        <w:numPr>
          <w:ilvl w:val="0"/>
          <w:numId w:val="1003"/>
        </w:numPr>
      </w:pPr>
      <w:r>
        <w:t xml:space="preserve">Watchlist</w:t>
      </w:r>
    </w:p>
    <w:p>
      <w:pPr>
        <w:pStyle w:val="Compact"/>
        <w:numPr>
          <w:ilvl w:val="0"/>
          <w:numId w:val="1003"/>
        </w:numPr>
      </w:pPr>
      <w:r>
        <w:t xml:space="preserve">Workspace</w:t>
      </w:r>
    </w:p>
    <w:p>
      <w:pPr>
        <w:pStyle w:val="FirstParagraph"/>
      </w:pPr>
      <w:r>
        <w:t xml:space="preserve">Entities have identity and lifecycle.</w:t>
      </w:r>
    </w:p>
    <w:p>
      <w:r>
        <w:pict>
          <v:rect style="width:0;height:1.5pt" o:hralign="center" o:hrstd="t" o:hr="t"/>
        </w:pict>
      </w:r>
    </w:p>
    <w:bookmarkEnd w:id="13"/>
    <w:bookmarkStart w:id="14" w:name="value-objects"/>
    <w:p>
      <w:pPr>
        <w:pStyle w:val="Heading1"/>
      </w:pPr>
      <w:r>
        <w:t xml:space="preserve">Value Objects</w:t>
      </w:r>
    </w:p>
    <w:p>
      <w:pPr>
        <w:pStyle w:val="FirstParagraph"/>
      </w:pPr>
      <w:r>
        <w:t xml:space="preserve">Examples:</w:t>
      </w:r>
    </w:p>
    <w:p>
      <w:pPr>
        <w:pStyle w:val="Compact"/>
        <w:numPr>
          <w:ilvl w:val="0"/>
          <w:numId w:val="1004"/>
        </w:numPr>
      </w:pPr>
      <w:r>
        <w:t xml:space="preserve">Price</w:t>
      </w:r>
    </w:p>
    <w:p>
      <w:pPr>
        <w:pStyle w:val="Compact"/>
        <w:numPr>
          <w:ilvl w:val="0"/>
          <w:numId w:val="1004"/>
        </w:numPr>
      </w:pPr>
      <w:r>
        <w:t xml:space="preserve">Quantity</w:t>
      </w:r>
    </w:p>
    <w:p>
      <w:pPr>
        <w:pStyle w:val="Compact"/>
        <w:numPr>
          <w:ilvl w:val="0"/>
          <w:numId w:val="1004"/>
        </w:numPr>
      </w:pPr>
      <w:r>
        <w:t xml:space="preserve">Currency</w:t>
      </w:r>
    </w:p>
    <w:p>
      <w:pPr>
        <w:pStyle w:val="Compact"/>
        <w:numPr>
          <w:ilvl w:val="0"/>
          <w:numId w:val="1004"/>
        </w:numPr>
      </w:pPr>
      <w:r>
        <w:t xml:space="preserve">Symbol</w:t>
      </w:r>
    </w:p>
    <w:p>
      <w:pPr>
        <w:pStyle w:val="Compact"/>
        <w:numPr>
          <w:ilvl w:val="0"/>
          <w:numId w:val="1004"/>
        </w:numPr>
      </w:pPr>
      <w:r>
        <w:t xml:space="preserve">Percentage</w:t>
      </w:r>
    </w:p>
    <w:p>
      <w:pPr>
        <w:pStyle w:val="Compact"/>
        <w:numPr>
          <w:ilvl w:val="0"/>
          <w:numId w:val="1004"/>
        </w:numPr>
      </w:pPr>
      <w:r>
        <w:t xml:space="preserve">Money</w:t>
      </w:r>
    </w:p>
    <w:p>
      <w:pPr>
        <w:pStyle w:val="Compact"/>
        <w:numPr>
          <w:ilvl w:val="0"/>
          <w:numId w:val="1004"/>
        </w:numPr>
      </w:pPr>
      <w:r>
        <w:t xml:space="preserve">Timestamp</w:t>
      </w:r>
    </w:p>
    <w:p>
      <w:pPr>
        <w:pStyle w:val="FirstParagraph"/>
      </w:pPr>
      <w:r>
        <w:t xml:space="preserve">Value Objects are immutable.</w:t>
      </w:r>
    </w:p>
    <w:p>
      <w:r>
        <w:pict>
          <v:rect style="width:0;height:1.5pt" o:hralign="center" o:hrstd="t" o:hr="t"/>
        </w:pict>
      </w:r>
    </w:p>
    <w:bookmarkEnd w:id="14"/>
    <w:bookmarkStart w:id="15" w:name="aggregates"/>
    <w:p>
      <w:pPr>
        <w:pStyle w:val="Heading1"/>
      </w:pPr>
      <w:r>
        <w:t xml:space="preserve">Aggregates</w:t>
      </w:r>
    </w:p>
    <w:p>
      <w:pPr>
        <w:pStyle w:val="FirstParagraph"/>
      </w:pPr>
      <w:r>
        <w:t xml:space="preserve">Typical aggregates include:</w:t>
      </w:r>
    </w:p>
    <w:p>
      <w:pPr>
        <w:pStyle w:val="Compact"/>
        <w:numPr>
          <w:ilvl w:val="0"/>
          <w:numId w:val="1005"/>
        </w:numPr>
      </w:pPr>
      <w:r>
        <w:t xml:space="preserve">Portfolio</w:t>
      </w:r>
    </w:p>
    <w:p>
      <w:pPr>
        <w:pStyle w:val="Compact"/>
        <w:numPr>
          <w:ilvl w:val="0"/>
          <w:numId w:val="1005"/>
        </w:numPr>
      </w:pPr>
      <w:r>
        <w:t xml:space="preserve">Strategy</w:t>
      </w:r>
    </w:p>
    <w:p>
      <w:pPr>
        <w:pStyle w:val="Compact"/>
        <w:numPr>
          <w:ilvl w:val="0"/>
          <w:numId w:val="1005"/>
        </w:numPr>
      </w:pPr>
      <w:r>
        <w:t xml:space="preserve">Order</w:t>
      </w:r>
    </w:p>
    <w:p>
      <w:pPr>
        <w:pStyle w:val="Compact"/>
        <w:numPr>
          <w:ilvl w:val="0"/>
          <w:numId w:val="1005"/>
        </w:numPr>
      </w:pPr>
      <w:r>
        <w:t xml:space="preserve">Position</w:t>
      </w:r>
    </w:p>
    <w:p>
      <w:pPr>
        <w:pStyle w:val="FirstParagraph"/>
      </w:pPr>
      <w:r>
        <w:t xml:space="preserve">Each aggregate protects its own business consistency.</w:t>
      </w:r>
    </w:p>
    <w:p>
      <w:r>
        <w:pict>
          <v:rect style="width:0;height:1.5pt" o:hralign="center" o:hrstd="t" o:hr="t"/>
        </w:pict>
      </w:r>
    </w:p>
    <w:bookmarkEnd w:id="15"/>
    <w:bookmarkStart w:id="16" w:name="domain-services"/>
    <w:p>
      <w:pPr>
        <w:pStyle w:val="Heading1"/>
      </w:pPr>
      <w:r>
        <w:t xml:space="preserve">Domain Services</w:t>
      </w:r>
    </w:p>
    <w:p>
      <w:pPr>
        <w:pStyle w:val="FirstParagraph"/>
      </w:pPr>
      <w:r>
        <w:t xml:space="preserve">Domain Services encapsulate business logic that does not naturally belong to a single entity.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06"/>
        </w:numPr>
      </w:pPr>
      <w:r>
        <w:t xml:space="preserve">Risk Evaluation</w:t>
      </w:r>
    </w:p>
    <w:p>
      <w:pPr>
        <w:pStyle w:val="Compact"/>
        <w:numPr>
          <w:ilvl w:val="0"/>
          <w:numId w:val="1006"/>
        </w:numPr>
      </w:pPr>
      <w:r>
        <w:t xml:space="preserve">Position Calculation</w:t>
      </w:r>
    </w:p>
    <w:p>
      <w:pPr>
        <w:pStyle w:val="Compact"/>
        <w:numPr>
          <w:ilvl w:val="0"/>
          <w:numId w:val="1006"/>
        </w:numPr>
      </w:pPr>
      <w:r>
        <w:t xml:space="preserve">Order Validation</w:t>
      </w:r>
    </w:p>
    <w:p>
      <w:pPr>
        <w:pStyle w:val="Compact"/>
        <w:numPr>
          <w:ilvl w:val="0"/>
          <w:numId w:val="1006"/>
        </w:numPr>
      </w:pPr>
      <w:r>
        <w:t xml:space="preserve">Strategy Evaluation</w:t>
      </w:r>
    </w:p>
    <w:p>
      <w:r>
        <w:pict>
          <v:rect style="width:0;height:1.5pt" o:hralign="center" o:hrstd="t" o:hr="t"/>
        </w:pict>
      </w:r>
    </w:p>
    <w:bookmarkEnd w:id="16"/>
    <w:bookmarkStart w:id="17" w:name="domain-events"/>
    <w:p>
      <w:pPr>
        <w:pStyle w:val="Heading1"/>
      </w:pPr>
      <w:r>
        <w:t xml:space="preserve">Domain Events</w:t>
      </w:r>
    </w:p>
    <w:p>
      <w:pPr>
        <w:pStyle w:val="FirstParagraph"/>
      </w:pPr>
      <w:r>
        <w:t xml:space="preserve">Business events communicate significant state changes.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07"/>
        </w:numPr>
      </w:pPr>
      <w:r>
        <w:t xml:space="preserve">OrderSubmitted</w:t>
      </w:r>
    </w:p>
    <w:p>
      <w:pPr>
        <w:pStyle w:val="Compact"/>
        <w:numPr>
          <w:ilvl w:val="0"/>
          <w:numId w:val="1007"/>
        </w:numPr>
      </w:pPr>
      <w:r>
        <w:t xml:space="preserve">OrderFilled</w:t>
      </w:r>
    </w:p>
    <w:p>
      <w:pPr>
        <w:pStyle w:val="Compact"/>
        <w:numPr>
          <w:ilvl w:val="0"/>
          <w:numId w:val="1007"/>
        </w:numPr>
      </w:pPr>
      <w:r>
        <w:t xml:space="preserve">PositionOpened</w:t>
      </w:r>
    </w:p>
    <w:p>
      <w:pPr>
        <w:pStyle w:val="Compact"/>
        <w:numPr>
          <w:ilvl w:val="0"/>
          <w:numId w:val="1007"/>
        </w:numPr>
      </w:pPr>
      <w:r>
        <w:t xml:space="preserve">PositionClosed</w:t>
      </w:r>
    </w:p>
    <w:p>
      <w:pPr>
        <w:pStyle w:val="Compact"/>
        <w:numPr>
          <w:ilvl w:val="0"/>
          <w:numId w:val="1007"/>
        </w:numPr>
      </w:pPr>
      <w:r>
        <w:t xml:space="preserve">StrategyActivated</w:t>
      </w:r>
    </w:p>
    <w:p>
      <w:pPr>
        <w:pStyle w:val="Compact"/>
        <w:numPr>
          <w:ilvl w:val="0"/>
          <w:numId w:val="1007"/>
        </w:numPr>
      </w:pPr>
      <w:r>
        <w:t xml:space="preserve">RiskLimitExceeded</w:t>
      </w:r>
    </w:p>
    <w:p>
      <w:pPr>
        <w:pStyle w:val="FirstParagraph"/>
      </w:pPr>
      <w:r>
        <w:t xml:space="preserve">Events are immutable.</w:t>
      </w:r>
    </w:p>
    <w:p>
      <w:r>
        <w:pict>
          <v:rect style="width:0;height:1.5pt" o:hralign="center" o:hrstd="t" o:hr="t"/>
        </w:pict>
      </w:r>
    </w:p>
    <w:bookmarkEnd w:id="17"/>
    <w:bookmarkStart w:id="18" w:name="repository-interfaces"/>
    <w:p>
      <w:pPr>
        <w:pStyle w:val="Heading1"/>
      </w:pPr>
      <w:r>
        <w:t xml:space="preserve">Repository Interfaces</w:t>
      </w:r>
    </w:p>
    <w:p>
      <w:pPr>
        <w:pStyle w:val="FirstParagraph"/>
      </w:pPr>
      <w:r>
        <w:t xml:space="preserve">The Domain defines repository interfaces only.</w:t>
      </w:r>
    </w:p>
    <w:p>
      <w:pPr>
        <w:pStyle w:val="BodyText"/>
      </w:pPr>
      <w:r>
        <w:t xml:space="preserve">Implementations belong to the Infrastructure layer.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PositionRepository</w:t>
      </w:r>
      <w:r>
        <w:br/>
      </w:r>
      <w:r>
        <w:br/>
      </w:r>
      <w:r>
        <w:rPr>
          <w:rStyle w:val="VerbatimChar"/>
        </w:rPr>
        <w:t xml:space="preserve">↓</w:t>
      </w:r>
      <w:r>
        <w:br/>
      </w:r>
      <w:r>
        <w:br/>
      </w:r>
      <w:r>
        <w:rPr>
          <w:rStyle w:val="VerbatimChar"/>
        </w:rPr>
        <w:t xml:space="preserve">SQLitePositionRepository</w:t>
      </w:r>
    </w:p>
    <w:p>
      <w:r>
        <w:pict>
          <v:rect style="width:0;height:1.5pt" o:hralign="center" o:hrstd="t" o:hr="t"/>
        </w:pict>
      </w:r>
    </w:p>
    <w:bookmarkEnd w:id="18"/>
    <w:bookmarkStart w:id="19" w:name="business-rules"/>
    <w:p>
      <w:pPr>
        <w:pStyle w:val="Heading1"/>
      </w:pPr>
      <w:r>
        <w:t xml:space="preserve">Business Rules</w:t>
      </w:r>
    </w:p>
    <w:p>
      <w:pPr>
        <w:pStyle w:val="FirstParagraph"/>
      </w:pPr>
      <w:r>
        <w:t xml:space="preserve">Business rules always remain inside the Domain.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08"/>
        </w:numPr>
      </w:pPr>
      <w:r>
        <w:t xml:space="preserve">position validation</w:t>
      </w:r>
    </w:p>
    <w:p>
      <w:pPr>
        <w:pStyle w:val="Compact"/>
        <w:numPr>
          <w:ilvl w:val="0"/>
          <w:numId w:val="1008"/>
        </w:numPr>
      </w:pPr>
      <w:r>
        <w:t xml:space="preserve">order validation</w:t>
      </w:r>
    </w:p>
    <w:p>
      <w:pPr>
        <w:pStyle w:val="Compact"/>
        <w:numPr>
          <w:ilvl w:val="0"/>
          <w:numId w:val="1008"/>
        </w:numPr>
      </w:pPr>
      <w:r>
        <w:t xml:space="preserve">risk calculation</w:t>
      </w:r>
    </w:p>
    <w:p>
      <w:pPr>
        <w:pStyle w:val="Compact"/>
        <w:numPr>
          <w:ilvl w:val="0"/>
          <w:numId w:val="1008"/>
        </w:numPr>
      </w:pPr>
      <w:r>
        <w:t xml:space="preserve">portfolio consistency</w:t>
      </w:r>
    </w:p>
    <w:p>
      <w:pPr>
        <w:pStyle w:val="Compact"/>
        <w:numPr>
          <w:ilvl w:val="0"/>
          <w:numId w:val="1008"/>
        </w:numPr>
      </w:pPr>
      <w:r>
        <w:t xml:space="preserve">strategy rules</w:t>
      </w:r>
    </w:p>
    <w:p>
      <w:r>
        <w:pict>
          <v:rect style="width:0;height:1.5pt" o:hralign="center" o:hrstd="t" o:hr="t"/>
        </w:pict>
      </w:r>
    </w:p>
    <w:bookmarkEnd w:id="19"/>
    <w:bookmarkStart w:id="20" w:name="domain-independence"/>
    <w:p>
      <w:pPr>
        <w:pStyle w:val="Heading1"/>
      </w:pPr>
      <w:r>
        <w:t xml:space="preserve">Domain Independence</w:t>
      </w:r>
    </w:p>
    <w:p>
      <w:pPr>
        <w:pStyle w:val="FirstParagraph"/>
      </w:pPr>
      <w:r>
        <w:t xml:space="preserve">The Domain must never depend on:</w:t>
      </w:r>
    </w:p>
    <w:p>
      <w:pPr>
        <w:pStyle w:val="Compact"/>
        <w:numPr>
          <w:ilvl w:val="0"/>
          <w:numId w:val="1009"/>
        </w:numPr>
      </w:pPr>
      <w:r>
        <w:t xml:space="preserve">databases</w:t>
      </w:r>
    </w:p>
    <w:p>
      <w:pPr>
        <w:pStyle w:val="Compact"/>
        <w:numPr>
          <w:ilvl w:val="0"/>
          <w:numId w:val="1009"/>
        </w:numPr>
      </w:pPr>
      <w:r>
        <w:t xml:space="preserve">YAML</w:t>
      </w:r>
    </w:p>
    <w:p>
      <w:pPr>
        <w:pStyle w:val="Compact"/>
        <w:numPr>
          <w:ilvl w:val="0"/>
          <w:numId w:val="1009"/>
        </w:numPr>
      </w:pPr>
      <w:r>
        <w:t xml:space="preserve">JSON</w:t>
      </w:r>
    </w:p>
    <w:p>
      <w:pPr>
        <w:pStyle w:val="Compact"/>
        <w:numPr>
          <w:ilvl w:val="0"/>
          <w:numId w:val="1009"/>
        </w:numPr>
      </w:pPr>
      <w:r>
        <w:t xml:space="preserve">REST</w:t>
      </w:r>
    </w:p>
    <w:p>
      <w:pPr>
        <w:pStyle w:val="Compact"/>
        <w:numPr>
          <w:ilvl w:val="0"/>
          <w:numId w:val="1009"/>
        </w:numPr>
      </w:pPr>
      <w:r>
        <w:t xml:space="preserve">UI</w:t>
      </w:r>
    </w:p>
    <w:p>
      <w:pPr>
        <w:pStyle w:val="Compact"/>
        <w:numPr>
          <w:ilvl w:val="0"/>
          <w:numId w:val="1009"/>
        </w:numPr>
      </w:pPr>
      <w:r>
        <w:t xml:space="preserve">Logging</w:t>
      </w:r>
    </w:p>
    <w:p>
      <w:pPr>
        <w:pStyle w:val="Compact"/>
        <w:numPr>
          <w:ilvl w:val="0"/>
          <w:numId w:val="1009"/>
        </w:numPr>
      </w:pPr>
      <w:r>
        <w:t xml:space="preserve">Frameworks</w:t>
      </w:r>
    </w:p>
    <w:p>
      <w:pPr>
        <w:pStyle w:val="Compact"/>
        <w:numPr>
          <w:ilvl w:val="0"/>
          <w:numId w:val="1009"/>
        </w:numPr>
      </w:pPr>
      <w:r>
        <w:t xml:space="preserve">Broker APIs</w:t>
      </w:r>
    </w:p>
    <w:p>
      <w:r>
        <w:pict>
          <v:rect style="width:0;height:1.5pt" o:hralign="center" o:hrstd="t" o:hr="t"/>
        </w:pict>
      </w:r>
    </w:p>
    <w:bookmarkEnd w:id="20"/>
    <w:bookmarkStart w:id="21" w:name="evolution"/>
    <w:p>
      <w:pPr>
        <w:pStyle w:val="Heading1"/>
      </w:pPr>
      <w:r>
        <w:t xml:space="preserve">Evolution</w:t>
      </w:r>
    </w:p>
    <w:p>
      <w:pPr>
        <w:pStyle w:val="FirstParagraph"/>
      </w:pPr>
      <w:r>
        <w:t xml:space="preserve">The Domain Model evolves continuously as new business capabilities are introduced.</w:t>
      </w:r>
    </w:p>
    <w:p>
      <w:pPr>
        <w:pStyle w:val="BodyText"/>
      </w:pPr>
      <w:r>
        <w:t xml:space="preserve">New concepts should integrate into existing bounded contexts whenever possible.</w:t>
      </w:r>
    </w:p>
    <w:p>
      <w:r>
        <w:pict>
          <v:rect style="width:0;height:1.5pt" o:hralign="center" o:hrstd="t" o:hr="t"/>
        </w:pict>
      </w:r>
    </w:p>
    <w:bookmarkEnd w:id="21"/>
    <w:bookmarkStart w:id="22" w:name="bounded-contexts"/>
    <w:p>
      <w:pPr>
        <w:pStyle w:val="Heading1"/>
      </w:pPr>
      <w:r>
        <w:t xml:space="preserve">Bounded Contexts</w:t>
      </w:r>
    </w:p>
    <w:p>
      <w:pPr>
        <w:pStyle w:val="FirstParagraph"/>
      </w:pPr>
      <w:r>
        <w:t xml:space="preserve">Each business domain represents an independent bounded context.</w:t>
      </w:r>
    </w:p>
    <w:p>
      <w:pPr>
        <w:pStyle w:val="BodyText"/>
      </w:pPr>
      <w:r>
        <w:t xml:space="preserve">Communication between bounded contexts should occur through:</w:t>
      </w:r>
    </w:p>
    <w:p>
      <w:pPr>
        <w:pStyle w:val="Compact"/>
        <w:numPr>
          <w:ilvl w:val="0"/>
          <w:numId w:val="1010"/>
        </w:numPr>
      </w:pPr>
      <w:r>
        <w:t xml:space="preserve">domain events</w:t>
      </w:r>
    </w:p>
    <w:p>
      <w:pPr>
        <w:pStyle w:val="Compact"/>
        <w:numPr>
          <w:ilvl w:val="0"/>
          <w:numId w:val="1010"/>
        </w:numPr>
      </w:pPr>
      <w:r>
        <w:t xml:space="preserve">well-defined interfaces</w:t>
      </w:r>
    </w:p>
    <w:p>
      <w:pPr>
        <w:pStyle w:val="Compact"/>
        <w:numPr>
          <w:ilvl w:val="0"/>
          <w:numId w:val="1010"/>
        </w:numPr>
      </w:pPr>
      <w:r>
        <w:t xml:space="preserve">application services</w:t>
      </w:r>
    </w:p>
    <w:p>
      <w:pPr>
        <w:pStyle w:val="FirstParagraph"/>
      </w:pPr>
      <w:r>
        <w:t xml:space="preserve">Avoid direct coupling between unrelated domains.</w:t>
      </w:r>
    </w:p>
    <w:p>
      <w:r>
        <w:pict>
          <v:rect style="width:0;height:1.5pt" o:hralign="center" o:hrstd="t" o:hr="t"/>
        </w:pict>
      </w:r>
    </w:p>
    <w:bookmarkEnd w:id="22"/>
    <w:bookmarkStart w:id="23" w:name="domain-invariants"/>
    <w:p>
      <w:pPr>
        <w:pStyle w:val="Heading1"/>
      </w:pPr>
      <w:r>
        <w:t xml:space="preserve">Domain Invariants</w:t>
      </w:r>
    </w:p>
    <w:p>
      <w:pPr>
        <w:pStyle w:val="FirstParagraph"/>
      </w:pPr>
      <w:r>
        <w:t xml:space="preserve">Business invariants must always be enforced inside the Domain.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11"/>
        </w:numPr>
      </w:pPr>
      <w:r>
        <w:t xml:space="preserve">portfolio consistency</w:t>
      </w:r>
    </w:p>
    <w:p>
      <w:pPr>
        <w:pStyle w:val="Compact"/>
        <w:numPr>
          <w:ilvl w:val="0"/>
          <w:numId w:val="1011"/>
        </w:numPr>
      </w:pPr>
      <w:r>
        <w:t xml:space="preserve">valid position state transitions</w:t>
      </w:r>
    </w:p>
    <w:p>
      <w:pPr>
        <w:pStyle w:val="Compact"/>
        <w:numPr>
          <w:ilvl w:val="0"/>
          <w:numId w:val="1011"/>
        </w:numPr>
      </w:pPr>
      <w:r>
        <w:t xml:space="preserve">order lifecycle integrity</w:t>
      </w:r>
    </w:p>
    <w:p>
      <w:pPr>
        <w:pStyle w:val="Compact"/>
        <w:numPr>
          <w:ilvl w:val="0"/>
          <w:numId w:val="1011"/>
        </w:numPr>
      </w:pPr>
      <w:r>
        <w:t xml:space="preserve">risk limit enforcement</w:t>
      </w:r>
    </w:p>
    <w:p>
      <w:pPr>
        <w:pStyle w:val="FirstParagraph"/>
      </w:pPr>
      <w:r>
        <w:t xml:space="preserve">Application or Infrastructure layers must never bypass domain rules.</w:t>
      </w:r>
    </w:p>
    <w:p>
      <w:r>
        <w:pict>
          <v:rect style="width:0;height:1.5pt" o:hralign="center" o:hrstd="t" o:hr="t"/>
        </w:pict>
      </w:r>
    </w:p>
    <w:bookmarkEnd w:id="23"/>
    <w:bookmarkStart w:id="24" w:name="domain-evolution"/>
    <w:p>
      <w:pPr>
        <w:pStyle w:val="Heading1"/>
      </w:pPr>
      <w:r>
        <w:t xml:space="preserve">Domain Evolution</w:t>
      </w:r>
    </w:p>
    <w:p>
      <w:pPr>
        <w:pStyle w:val="FirstParagraph"/>
      </w:pPr>
      <w:r>
        <w:t xml:space="preserve">New business capabilities should:</w:t>
      </w:r>
    </w:p>
    <w:p>
      <w:pPr>
        <w:pStyle w:val="Compact"/>
        <w:numPr>
          <w:ilvl w:val="0"/>
          <w:numId w:val="1012"/>
        </w:numPr>
      </w:pPr>
      <w:r>
        <w:t xml:space="preserve">extend existing domains where appropriate</w:t>
      </w:r>
    </w:p>
    <w:p>
      <w:pPr>
        <w:pStyle w:val="Compact"/>
        <w:numPr>
          <w:ilvl w:val="0"/>
          <w:numId w:val="1012"/>
        </w:numPr>
      </w:pPr>
      <w:r>
        <w:t xml:space="preserve">avoid creating unnecessary domains</w:t>
      </w:r>
    </w:p>
    <w:p>
      <w:pPr>
        <w:pStyle w:val="Compact"/>
        <w:numPr>
          <w:ilvl w:val="0"/>
          <w:numId w:val="1012"/>
        </w:numPr>
      </w:pPr>
      <w:r>
        <w:t xml:space="preserve">preserve ubiquitous language</w:t>
      </w:r>
    </w:p>
    <w:p>
      <w:pPr>
        <w:pStyle w:val="Compact"/>
        <w:numPr>
          <w:ilvl w:val="0"/>
          <w:numId w:val="1012"/>
        </w:numPr>
      </w:pPr>
      <w:r>
        <w:t xml:space="preserve">maintain backward compatibility whenever practical</w:t>
      </w:r>
    </w:p>
    <w:p>
      <w:r>
        <w:pict>
          <v:rect style="width:0;height:1.5pt" o:hralign="center" o:hrstd="t" o:hr="t"/>
        </w:pict>
      </w:r>
    </w:p>
    <w:bookmarkEnd w:id="24"/>
    <w:bookmarkStart w:id="25" w:name="domain-review-checklist"/>
    <w:p>
      <w:pPr>
        <w:pStyle w:val="Heading1"/>
      </w:pPr>
      <w:r>
        <w:t xml:space="preserve">Domain Review Checklist</w:t>
      </w:r>
    </w:p>
    <w:p>
      <w:pPr>
        <w:pStyle w:val="FirstParagraph"/>
      </w:pPr>
      <w:r>
        <w:t xml:space="preserve">Before merging verify:</w:t>
      </w:r>
    </w:p>
    <w:p>
      <w:pPr>
        <w:pStyle w:val="Compact"/>
        <w:numPr>
          <w:ilvl w:val="0"/>
          <w:numId w:val="1013"/>
        </w:numPr>
      </w:pPr>
      <w:r>
        <w:t xml:space="preserve">business rules remain in Domain</w:t>
      </w:r>
    </w:p>
    <w:p>
      <w:pPr>
        <w:pStyle w:val="Compact"/>
        <w:numPr>
          <w:ilvl w:val="0"/>
          <w:numId w:val="1013"/>
        </w:numPr>
      </w:pPr>
      <w:r>
        <w:t xml:space="preserve">no infrastructure dependencies</w:t>
      </w:r>
    </w:p>
    <w:p>
      <w:pPr>
        <w:pStyle w:val="Compact"/>
        <w:numPr>
          <w:ilvl w:val="0"/>
          <w:numId w:val="1013"/>
        </w:numPr>
      </w:pPr>
      <w:r>
        <w:t xml:space="preserve">aggregates remain consistent</w:t>
      </w:r>
    </w:p>
    <w:p>
      <w:pPr>
        <w:pStyle w:val="Compact"/>
        <w:numPr>
          <w:ilvl w:val="0"/>
          <w:numId w:val="1013"/>
        </w:numPr>
      </w:pPr>
      <w:r>
        <w:t xml:space="preserve">value objects stay immutable</w:t>
      </w:r>
    </w:p>
    <w:p>
      <w:pPr>
        <w:pStyle w:val="Compact"/>
        <w:numPr>
          <w:ilvl w:val="0"/>
          <w:numId w:val="1013"/>
        </w:numPr>
      </w:pPr>
      <w:r>
        <w:t xml:space="preserve">repository interfaces only</w:t>
      </w:r>
    </w:p>
    <w:p>
      <w:pPr>
        <w:pStyle w:val="Compact"/>
        <w:numPr>
          <w:ilvl w:val="0"/>
          <w:numId w:val="1013"/>
        </w:numPr>
      </w:pPr>
      <w:r>
        <w:t xml:space="preserve">domain events remain business-oriented</w:t>
      </w:r>
    </w:p>
    <w:p>
      <w:r>
        <w:pict>
          <v:rect style="width:0;height:1.5pt" o:hralign="center" o:hrstd="t" o:hr="t"/>
        </w:pict>
      </w:r>
    </w:p>
    <w:bookmarkEnd w:id="25"/>
    <w:bookmarkStart w:id="26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14"/>
        </w:numPr>
      </w:pPr>
      <w:r>
        <w:t xml:space="preserve">Architecture.md</w:t>
      </w:r>
    </w:p>
    <w:p>
      <w:pPr>
        <w:pStyle w:val="Compact"/>
        <w:numPr>
          <w:ilvl w:val="0"/>
          <w:numId w:val="1014"/>
        </w:numPr>
      </w:pPr>
      <w:r>
        <w:t xml:space="preserve">Infrastructure.md</w:t>
      </w:r>
    </w:p>
    <w:p>
      <w:pPr>
        <w:pStyle w:val="Compact"/>
        <w:numPr>
          <w:ilvl w:val="0"/>
          <w:numId w:val="1014"/>
        </w:numPr>
      </w:pPr>
      <w:r>
        <w:t xml:space="preserve">Product_Vision.md</w:t>
      </w:r>
    </w:p>
    <w:p>
      <w:pPr>
        <w:pStyle w:val="Compact"/>
        <w:numPr>
          <w:ilvl w:val="0"/>
          <w:numId w:val="1014"/>
        </w:numPr>
      </w:pPr>
      <w:r>
        <w:t xml:space="preserve">AGENTS.md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2026-07-03T12:38:31Z</dcterms:created>
  <dcterms:modified xsi:type="dcterms:W3CDTF">2026-07-03T12:38:31Z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