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duct-vision"/>
    <w:p>
      <w:pPr>
        <w:pStyle w:val="Heading1"/>
      </w:pPr>
      <w:r>
        <w:t xml:space="preserve">Product Vision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vision-statement"/>
    <w:p>
      <w:pPr>
        <w:pStyle w:val="Heading1"/>
      </w:pPr>
      <w:r>
        <w:t xml:space="preserve">Vision Statement</w:t>
      </w:r>
    </w:p>
    <w:p>
      <w:pPr>
        <w:pStyle w:val="FirstParagraph"/>
      </w:pPr>
      <w:r>
        <w:t xml:space="preserve">Trading Platform Pro shall become a professional, modular and enterprise-grade trading platform that combines excellent software engineering with practical trading capabilities.</w:t>
      </w:r>
    </w:p>
    <w:p>
      <w:pPr>
        <w:pStyle w:val="BodyText"/>
      </w:pPr>
      <w:r>
        <w:t xml:space="preserve">The platform is designed for long-term evolution and continuous improvement.</w:t>
      </w:r>
    </w:p>
    <w:p>
      <w:r>
        <w:pict>
          <v:rect style="width:0;height:1.5pt" o:hralign="center" o:hrstd="t" o:hr="t"/>
        </w:pict>
      </w:r>
    </w:p>
    <w:bookmarkEnd w:id="10"/>
    <w:bookmarkStart w:id="11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Our mission is to build a trading platform that enables traders and developers to work efficiently, reliably and confidently through a modern, maintainable software architecture.</w:t>
      </w:r>
    </w:p>
    <w:p>
      <w:r>
        <w:pict>
          <v:rect style="width:0;height:1.5pt" o:hralign="center" o:hrstd="t" o:hr="t"/>
        </w:pict>
      </w:r>
    </w:p>
    <w:bookmarkEnd w:id="11"/>
    <w:bookmarkStart w:id="12" w:name="core-values"/>
    <w:p>
      <w:pPr>
        <w:pStyle w:val="Heading1"/>
      </w:pPr>
      <w:r>
        <w:t xml:space="preserve">Core Values</w:t>
      </w:r>
    </w:p>
    <w:p>
      <w:pPr>
        <w:pStyle w:val="FirstParagraph"/>
      </w:pPr>
      <w:r>
        <w:t xml:space="preserve">The project is guided by the following values:</w:t>
      </w:r>
    </w:p>
    <w:p>
      <w:pPr>
        <w:pStyle w:val="Compact"/>
        <w:numPr>
          <w:ilvl w:val="0"/>
          <w:numId w:val="1001"/>
        </w:numPr>
      </w:pPr>
      <w:r>
        <w:t xml:space="preserve">Simplicity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Transparency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Extensibility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Automation</w:t>
      </w:r>
    </w:p>
    <w:p>
      <w:pPr>
        <w:pStyle w:val="Compact"/>
        <w:numPr>
          <w:ilvl w:val="0"/>
          <w:numId w:val="1001"/>
        </w:numPr>
      </w:pPr>
      <w:r>
        <w:t xml:space="preserve">Quality</w:t>
      </w:r>
    </w:p>
    <w:p>
      <w:r>
        <w:pict>
          <v:rect style="width:0;height:1.5pt" o:hralign="center" o:hrstd="t" o:hr="t"/>
        </w:pict>
      </w:r>
    </w:p>
    <w:bookmarkEnd w:id="12"/>
    <w:bookmarkStart w:id="13" w:name="strategic-objectives"/>
    <w:p>
      <w:pPr>
        <w:pStyle w:val="Heading1"/>
      </w:pPr>
      <w:r>
        <w:t xml:space="preserve">Strategic Objectives</w:t>
      </w:r>
    </w:p>
    <w:p>
      <w:pPr>
        <w:pStyle w:val="FirstParagraph"/>
      </w:pPr>
      <w:r>
        <w:t xml:space="preserve">The platform shall provide:</w:t>
      </w:r>
    </w:p>
    <w:p>
      <w:pPr>
        <w:pStyle w:val="Compact"/>
        <w:numPr>
          <w:ilvl w:val="0"/>
          <w:numId w:val="1002"/>
        </w:numPr>
      </w:pPr>
      <w:r>
        <w:t xml:space="preserve">a unified trading cockpit</w:t>
      </w:r>
    </w:p>
    <w:p>
      <w:pPr>
        <w:pStyle w:val="Compact"/>
        <w:numPr>
          <w:ilvl w:val="0"/>
          <w:numId w:val="1002"/>
        </w:numPr>
      </w:pPr>
      <w:r>
        <w:t xml:space="preserve">configurable workflows</w:t>
      </w:r>
    </w:p>
    <w:p>
      <w:pPr>
        <w:pStyle w:val="Compact"/>
        <w:numPr>
          <w:ilvl w:val="0"/>
          <w:numId w:val="1002"/>
        </w:numPr>
      </w:pPr>
      <w:r>
        <w:t xml:space="preserve">reusable infrastructure</w:t>
      </w:r>
    </w:p>
    <w:p>
      <w:pPr>
        <w:pStyle w:val="Compact"/>
        <w:numPr>
          <w:ilvl w:val="0"/>
          <w:numId w:val="1002"/>
        </w:numPr>
      </w:pPr>
      <w:r>
        <w:t xml:space="preserve">scalable architecture</w:t>
      </w:r>
    </w:p>
    <w:p>
      <w:pPr>
        <w:pStyle w:val="Compact"/>
        <w:numPr>
          <w:ilvl w:val="0"/>
          <w:numId w:val="1002"/>
        </w:numPr>
      </w:pPr>
      <w:r>
        <w:t xml:space="preserve">deterministic execution</w:t>
      </w:r>
    </w:p>
    <w:p>
      <w:pPr>
        <w:pStyle w:val="Compact"/>
        <w:numPr>
          <w:ilvl w:val="0"/>
          <w:numId w:val="1002"/>
        </w:numPr>
      </w:pPr>
      <w:r>
        <w:t xml:space="preserve">comprehensive observability</w:t>
      </w:r>
    </w:p>
    <w:p>
      <w:pPr>
        <w:pStyle w:val="Compact"/>
        <w:numPr>
          <w:ilvl w:val="0"/>
          <w:numId w:val="1002"/>
        </w:numPr>
      </w:pPr>
      <w:r>
        <w:t xml:space="preserve">excellent developer experience</w:t>
      </w:r>
    </w:p>
    <w:p>
      <w:r>
        <w:pict>
          <v:rect style="width:0;height:1.5pt" o:hralign="center" o:hrstd="t" o:hr="t"/>
        </w:pict>
      </w:r>
    </w:p>
    <w:bookmarkEnd w:id="13"/>
    <w:bookmarkStart w:id="14" w:name="product-principles"/>
    <w:p>
      <w:pPr>
        <w:pStyle w:val="Heading1"/>
      </w:pPr>
      <w:r>
        <w:t xml:space="preserve">Product Principles</w:t>
      </w:r>
    </w:p>
    <w:p>
      <w:pPr>
        <w:pStyle w:val="FirstParagraph"/>
      </w:pPr>
      <w:r>
        <w:t xml:space="preserve">Every feature should satisfy the following principles:</w:t>
      </w:r>
    </w:p>
    <w:p>
      <w:pPr>
        <w:pStyle w:val="Compact"/>
        <w:numPr>
          <w:ilvl w:val="0"/>
          <w:numId w:val="1003"/>
        </w:numPr>
      </w:pPr>
      <w:r>
        <w:t xml:space="preserve">Solve a real user problem.</w:t>
      </w:r>
    </w:p>
    <w:p>
      <w:pPr>
        <w:pStyle w:val="Compact"/>
        <w:numPr>
          <w:ilvl w:val="0"/>
          <w:numId w:val="1003"/>
        </w:numPr>
      </w:pPr>
      <w:r>
        <w:t xml:space="preserve">Integrate naturally into the existing architecture.</w:t>
      </w:r>
    </w:p>
    <w:p>
      <w:pPr>
        <w:pStyle w:val="Compact"/>
        <w:numPr>
          <w:ilvl w:val="0"/>
          <w:numId w:val="1003"/>
        </w:numPr>
      </w:pPr>
      <w:r>
        <w:t xml:space="preserve">Avoid unnecessary complexity.</w:t>
      </w:r>
    </w:p>
    <w:p>
      <w:pPr>
        <w:pStyle w:val="Compact"/>
        <w:numPr>
          <w:ilvl w:val="0"/>
          <w:numId w:val="1003"/>
        </w:numPr>
      </w:pPr>
      <w:r>
        <w:t xml:space="preserve">Be testable.</w:t>
      </w:r>
    </w:p>
    <w:p>
      <w:pPr>
        <w:pStyle w:val="Compact"/>
        <w:numPr>
          <w:ilvl w:val="0"/>
          <w:numId w:val="1003"/>
        </w:numPr>
      </w:pPr>
      <w:r>
        <w:t xml:space="preserve">Be maintainable.</w:t>
      </w:r>
    </w:p>
    <w:p>
      <w:pPr>
        <w:pStyle w:val="Compact"/>
        <w:numPr>
          <w:ilvl w:val="0"/>
          <w:numId w:val="1003"/>
        </w:numPr>
      </w:pPr>
      <w:r>
        <w:t xml:space="preserve">Be well documented.</w:t>
      </w:r>
    </w:p>
    <w:p>
      <w:r>
        <w:pict>
          <v:rect style="width:0;height:1.5pt" o:hralign="center" o:hrstd="t" o:hr="t"/>
        </w:pict>
      </w:r>
    </w:p>
    <w:bookmarkEnd w:id="14"/>
    <w:bookmarkStart w:id="15" w:name="functional-vision"/>
    <w:p>
      <w:pPr>
        <w:pStyle w:val="Heading1"/>
      </w:pPr>
      <w:r>
        <w:t xml:space="preserve">Functional Vision</w:t>
      </w:r>
    </w:p>
    <w:p>
      <w:pPr>
        <w:pStyle w:val="FirstParagraph"/>
      </w:pPr>
      <w:r>
        <w:t xml:space="preserve">Trading Platform Pro will gradually evolve into a complete trading ecosystem including:</w:t>
      </w:r>
    </w:p>
    <w:p>
      <w:pPr>
        <w:pStyle w:val="Compact"/>
        <w:numPr>
          <w:ilvl w:val="0"/>
          <w:numId w:val="1004"/>
        </w:numPr>
      </w:pPr>
      <w:r>
        <w:t xml:space="preserve">Market Data</w:t>
      </w:r>
    </w:p>
    <w:p>
      <w:pPr>
        <w:pStyle w:val="Compact"/>
        <w:numPr>
          <w:ilvl w:val="0"/>
          <w:numId w:val="1004"/>
        </w:numPr>
      </w:pPr>
      <w:r>
        <w:t xml:space="preserve">Watchlists</w:t>
      </w:r>
    </w:p>
    <w:p>
      <w:pPr>
        <w:pStyle w:val="Compact"/>
        <w:numPr>
          <w:ilvl w:val="0"/>
          <w:numId w:val="1004"/>
        </w:numPr>
      </w:pPr>
      <w:r>
        <w:t xml:space="preserve">Scanner</w:t>
      </w:r>
    </w:p>
    <w:p>
      <w:pPr>
        <w:pStyle w:val="Compact"/>
        <w:numPr>
          <w:ilvl w:val="0"/>
          <w:numId w:val="1004"/>
        </w:numPr>
      </w:pPr>
      <w:r>
        <w:t xml:space="preserve">Trading Cockpit</w:t>
      </w:r>
    </w:p>
    <w:p>
      <w:pPr>
        <w:pStyle w:val="Compact"/>
        <w:numPr>
          <w:ilvl w:val="0"/>
          <w:numId w:val="1004"/>
        </w:numPr>
      </w:pPr>
      <w:r>
        <w:t xml:space="preserve">Portfolio Management</w:t>
      </w:r>
    </w:p>
    <w:p>
      <w:pPr>
        <w:pStyle w:val="Compact"/>
        <w:numPr>
          <w:ilvl w:val="0"/>
          <w:numId w:val="1004"/>
        </w:numPr>
      </w:pPr>
      <w:r>
        <w:t xml:space="preserve">Risk Management</w:t>
      </w:r>
    </w:p>
    <w:p>
      <w:pPr>
        <w:pStyle w:val="Compact"/>
        <w:numPr>
          <w:ilvl w:val="0"/>
          <w:numId w:val="1004"/>
        </w:numPr>
      </w:pPr>
      <w:r>
        <w:t xml:space="preserve">Order Management</w:t>
      </w:r>
    </w:p>
    <w:p>
      <w:pPr>
        <w:pStyle w:val="Compact"/>
        <w:numPr>
          <w:ilvl w:val="0"/>
          <w:numId w:val="1004"/>
        </w:numPr>
      </w:pPr>
      <w:r>
        <w:t xml:space="preserve">Strategy Engine</w:t>
      </w:r>
    </w:p>
    <w:p>
      <w:pPr>
        <w:pStyle w:val="Compact"/>
        <w:numPr>
          <w:ilvl w:val="0"/>
          <w:numId w:val="1004"/>
        </w:numPr>
      </w:pPr>
      <w:r>
        <w:t xml:space="preserve">Backtesting</w:t>
      </w:r>
    </w:p>
    <w:p>
      <w:pPr>
        <w:pStyle w:val="Compact"/>
        <w:numPr>
          <w:ilvl w:val="0"/>
          <w:numId w:val="1004"/>
        </w:numPr>
      </w:pPr>
      <w:r>
        <w:t xml:space="preserve">Reporting</w:t>
      </w:r>
    </w:p>
    <w:p>
      <w:pPr>
        <w:pStyle w:val="Compact"/>
        <w:numPr>
          <w:ilvl w:val="0"/>
          <w:numId w:val="1004"/>
        </w:numPr>
      </w:pPr>
      <w:r>
        <w:t xml:space="preserve">Decision Center</w:t>
      </w:r>
    </w:p>
    <w:p>
      <w:pPr>
        <w:pStyle w:val="Compact"/>
        <w:numPr>
          <w:ilvl w:val="0"/>
          <w:numId w:val="1004"/>
        </w:numPr>
      </w:pPr>
      <w:r>
        <w:t xml:space="preserve">Plugin System</w:t>
      </w:r>
    </w:p>
    <w:p>
      <w:r>
        <w:pict>
          <v:rect style="width:0;height:1.5pt" o:hralign="center" o:hrstd="t" o:hr="t"/>
        </w:pict>
      </w:r>
    </w:p>
    <w:bookmarkEnd w:id="15"/>
    <w:bookmarkStart w:id="16" w:name="non-functional-vision"/>
    <w:p>
      <w:pPr>
        <w:pStyle w:val="Heading1"/>
      </w:pPr>
      <w:r>
        <w:t xml:space="preserve">Non-Functional Vision</w:t>
      </w:r>
    </w:p>
    <w:p>
      <w:pPr>
        <w:pStyle w:val="FirstParagraph"/>
      </w:pPr>
      <w:r>
        <w:t xml:space="preserve">The platform shall provide:</w:t>
      </w:r>
    </w:p>
    <w:p>
      <w:pPr>
        <w:pStyle w:val="Compact"/>
        <w:numPr>
          <w:ilvl w:val="0"/>
          <w:numId w:val="1005"/>
        </w:numPr>
      </w:pPr>
      <w:r>
        <w:t xml:space="preserve">high availability</w:t>
      </w:r>
    </w:p>
    <w:p>
      <w:pPr>
        <w:pStyle w:val="Compact"/>
        <w:numPr>
          <w:ilvl w:val="0"/>
          <w:numId w:val="1005"/>
        </w:numPr>
      </w:pPr>
      <w:r>
        <w:t xml:space="preserve">predictable behaviour</w:t>
      </w:r>
    </w:p>
    <w:p>
      <w:pPr>
        <w:pStyle w:val="Compact"/>
        <w:numPr>
          <w:ilvl w:val="0"/>
          <w:numId w:val="1005"/>
        </w:numPr>
      </w:pPr>
      <w:r>
        <w:t xml:space="preserve">low operational complexity</w:t>
      </w:r>
    </w:p>
    <w:p>
      <w:pPr>
        <w:pStyle w:val="Compact"/>
        <w:numPr>
          <w:ilvl w:val="0"/>
          <w:numId w:val="1005"/>
        </w:numPr>
      </w:pPr>
      <w:r>
        <w:t xml:space="preserve">modular deployment</w:t>
      </w:r>
    </w:p>
    <w:p>
      <w:pPr>
        <w:pStyle w:val="Compact"/>
        <w:numPr>
          <w:ilvl w:val="0"/>
          <w:numId w:val="1005"/>
        </w:numPr>
      </w:pPr>
      <w:r>
        <w:t xml:space="preserve">strong code quality</w:t>
      </w:r>
    </w:p>
    <w:p>
      <w:pPr>
        <w:pStyle w:val="Compact"/>
        <w:numPr>
          <w:ilvl w:val="0"/>
          <w:numId w:val="1005"/>
        </w:numPr>
      </w:pPr>
      <w:r>
        <w:t xml:space="preserve">extensive automated testing</w:t>
      </w:r>
    </w:p>
    <w:p>
      <w:pPr>
        <w:pStyle w:val="Compact"/>
        <w:numPr>
          <w:ilvl w:val="0"/>
          <w:numId w:val="1005"/>
        </w:numPr>
      </w:pPr>
      <w:r>
        <w:t xml:space="preserve">comprehensive documentation</w:t>
      </w:r>
    </w:p>
    <w:p>
      <w:r>
        <w:pict>
          <v:rect style="width:0;height:1.5pt" o:hralign="center" o:hrstd="t" o:hr="t"/>
        </w:pict>
      </w:r>
    </w:p>
    <w:bookmarkEnd w:id="16"/>
    <w:bookmarkStart w:id="17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project is considered successful when it achieves:</w:t>
      </w:r>
    </w:p>
    <w:p>
      <w:pPr>
        <w:pStyle w:val="Compact"/>
        <w:numPr>
          <w:ilvl w:val="0"/>
          <w:numId w:val="1006"/>
        </w:numPr>
      </w:pPr>
      <w:r>
        <w:t xml:space="preserve">professional software quality</w:t>
      </w:r>
    </w:p>
    <w:p>
      <w:pPr>
        <w:pStyle w:val="Compact"/>
        <w:numPr>
          <w:ilvl w:val="0"/>
          <w:numId w:val="1006"/>
        </w:numPr>
      </w:pPr>
      <w:r>
        <w:t xml:space="preserve">scalable architecture</w:t>
      </w:r>
    </w:p>
    <w:p>
      <w:pPr>
        <w:pStyle w:val="Compact"/>
        <w:numPr>
          <w:ilvl w:val="0"/>
          <w:numId w:val="1006"/>
        </w:numPr>
      </w:pPr>
      <w:r>
        <w:t xml:space="preserve">high developer productivity</w:t>
      </w:r>
    </w:p>
    <w:p>
      <w:pPr>
        <w:pStyle w:val="Compact"/>
        <w:numPr>
          <w:ilvl w:val="0"/>
          <w:numId w:val="1006"/>
        </w:numPr>
      </w:pPr>
      <w:r>
        <w:t xml:space="preserve">stable releases</w:t>
      </w:r>
    </w:p>
    <w:p>
      <w:pPr>
        <w:pStyle w:val="Compact"/>
        <w:numPr>
          <w:ilvl w:val="0"/>
          <w:numId w:val="1006"/>
        </w:numPr>
      </w:pPr>
      <w:r>
        <w:t xml:space="preserve">comprehensive documentation</w:t>
      </w:r>
    </w:p>
    <w:p>
      <w:pPr>
        <w:pStyle w:val="Compact"/>
        <w:numPr>
          <w:ilvl w:val="0"/>
          <w:numId w:val="1006"/>
        </w:numPr>
      </w:pPr>
      <w:r>
        <w:t xml:space="preserve">long-term maintainability</w:t>
      </w:r>
    </w:p>
    <w:p>
      <w:r>
        <w:pict>
          <v:rect style="width:0;height:1.5pt" o:hralign="center" o:hrstd="t" o:hr="t"/>
        </w:pict>
      </w:r>
    </w:p>
    <w:bookmarkEnd w:id="17"/>
    <w:bookmarkStart w:id="18" w:name="future-direction"/>
    <w:p>
      <w:pPr>
        <w:pStyle w:val="Heading1"/>
      </w:pPr>
      <w:r>
        <w:t xml:space="preserve">Future Direction</w:t>
      </w:r>
    </w:p>
    <w:p>
      <w:pPr>
        <w:pStyle w:val="FirstParagraph"/>
      </w:pPr>
      <w:r>
        <w:t xml:space="preserve">Future development focuses on:</w:t>
      </w:r>
    </w:p>
    <w:p>
      <w:pPr>
        <w:pStyle w:val="Compact"/>
        <w:numPr>
          <w:ilvl w:val="0"/>
          <w:numId w:val="1007"/>
        </w:numPr>
      </w:pPr>
      <w:r>
        <w:t xml:space="preserve">additional trading workflows</w:t>
      </w:r>
    </w:p>
    <w:p>
      <w:pPr>
        <w:pStyle w:val="Compact"/>
        <w:numPr>
          <w:ilvl w:val="0"/>
          <w:numId w:val="1007"/>
        </w:numPr>
      </w:pPr>
      <w:r>
        <w:t xml:space="preserve">AI-assisted decision support</w:t>
      </w:r>
    </w:p>
    <w:p>
      <w:pPr>
        <w:pStyle w:val="Compact"/>
        <w:numPr>
          <w:ilvl w:val="0"/>
          <w:numId w:val="1007"/>
        </w:numPr>
      </w:pPr>
      <w:r>
        <w:t xml:space="preserve">advanced analytics</w:t>
      </w:r>
    </w:p>
    <w:p>
      <w:pPr>
        <w:pStyle w:val="Compact"/>
        <w:numPr>
          <w:ilvl w:val="0"/>
          <w:numId w:val="1007"/>
        </w:numPr>
      </w:pPr>
      <w:r>
        <w:t xml:space="preserve">improved automation</w:t>
      </w:r>
    </w:p>
    <w:p>
      <w:pPr>
        <w:pStyle w:val="Compact"/>
        <w:numPr>
          <w:ilvl w:val="0"/>
          <w:numId w:val="1007"/>
        </w:numPr>
      </w:pPr>
      <w:r>
        <w:t xml:space="preserve">plugin ecosystem</w:t>
      </w:r>
    </w:p>
    <w:p>
      <w:pPr>
        <w:pStyle w:val="Compact"/>
        <w:numPr>
          <w:ilvl w:val="0"/>
          <w:numId w:val="1007"/>
        </w:numPr>
      </w:pPr>
      <w:r>
        <w:t xml:space="preserve">cloud readiness</w:t>
      </w:r>
    </w:p>
    <w:p>
      <w:pPr>
        <w:pStyle w:val="Compact"/>
        <w:numPr>
          <w:ilvl w:val="0"/>
          <w:numId w:val="1007"/>
        </w:numPr>
      </w:pPr>
      <w:r>
        <w:t xml:space="preserve">multi-broker support</w:t>
      </w:r>
    </w:p>
    <w:p>
      <w:r>
        <w:pict>
          <v:rect style="width:0;height:1.5pt" o:hralign="center" o:hrstd="t" o:hr="t"/>
        </w:pict>
      </w:r>
    </w:p>
    <w:bookmarkEnd w:id="18"/>
    <w:bookmarkStart w:id="19" w:name="target-users"/>
    <w:p>
      <w:pPr>
        <w:pStyle w:val="Heading1"/>
      </w:pPr>
      <w:r>
        <w:t xml:space="preserve">Target Users</w:t>
      </w:r>
    </w:p>
    <w:p>
      <w:pPr>
        <w:pStyle w:val="FirstParagraph"/>
      </w:pPr>
      <w:r>
        <w:t xml:space="preserve">Trading Platform Pro is designed for:</w:t>
      </w:r>
    </w:p>
    <w:p>
      <w:pPr>
        <w:pStyle w:val="Compact"/>
        <w:numPr>
          <w:ilvl w:val="0"/>
          <w:numId w:val="1008"/>
        </w:numPr>
      </w:pPr>
      <w:r>
        <w:t xml:space="preserve">Professional traders</w:t>
      </w:r>
    </w:p>
    <w:p>
      <w:pPr>
        <w:pStyle w:val="Compact"/>
        <w:numPr>
          <w:ilvl w:val="0"/>
          <w:numId w:val="1008"/>
        </w:numPr>
      </w:pPr>
      <w:r>
        <w:t xml:space="preserve">Active private traders</w:t>
      </w:r>
    </w:p>
    <w:p>
      <w:pPr>
        <w:pStyle w:val="Compact"/>
        <w:numPr>
          <w:ilvl w:val="0"/>
          <w:numId w:val="1008"/>
        </w:numPr>
      </w:pPr>
      <w:r>
        <w:t xml:space="preserve">Quantitative traders</w:t>
      </w:r>
    </w:p>
    <w:p>
      <w:pPr>
        <w:pStyle w:val="Compact"/>
        <w:numPr>
          <w:ilvl w:val="0"/>
          <w:numId w:val="1008"/>
        </w:numPr>
      </w:pPr>
      <w:r>
        <w:t xml:space="preserve">Developers</w:t>
      </w:r>
    </w:p>
    <w:p>
      <w:pPr>
        <w:pStyle w:val="Compact"/>
        <w:numPr>
          <w:ilvl w:val="0"/>
          <w:numId w:val="1008"/>
        </w:numPr>
      </w:pPr>
      <w:r>
        <w:t xml:space="preserve">Future AI-assisted trading workflows</w:t>
      </w:r>
    </w:p>
    <w:p>
      <w:r>
        <w:pict>
          <v:rect style="width:0;height:1.5pt" o:hralign="center" o:hrstd="t" o:hr="t"/>
        </w:pict>
      </w:r>
    </w:p>
    <w:bookmarkEnd w:id="19"/>
    <w:bookmarkStart w:id="20" w:name="product-scope"/>
    <w:p>
      <w:pPr>
        <w:pStyle w:val="Heading1"/>
      </w:pPr>
      <w:r>
        <w:t xml:space="preserve">Product Scope</w:t>
      </w:r>
    </w:p>
    <w:p>
      <w:pPr>
        <w:pStyle w:val="FirstParagraph"/>
      </w:pPr>
      <w:r>
        <w:t xml:space="preserve">The initial product focuses on the Trading Cockpit.</w:t>
      </w:r>
    </w:p>
    <w:p>
      <w:pPr>
        <w:pStyle w:val="BodyText"/>
      </w:pPr>
      <w:r>
        <w:t xml:space="preserve">Future platform applications may include:</w:t>
      </w:r>
    </w:p>
    <w:p>
      <w:pPr>
        <w:pStyle w:val="Compact"/>
        <w:numPr>
          <w:ilvl w:val="0"/>
          <w:numId w:val="1009"/>
        </w:numPr>
      </w:pPr>
      <w:r>
        <w:t xml:space="preserve">Portfolio Manager</w:t>
      </w:r>
    </w:p>
    <w:p>
      <w:pPr>
        <w:pStyle w:val="Compact"/>
        <w:numPr>
          <w:ilvl w:val="0"/>
          <w:numId w:val="1009"/>
        </w:numPr>
      </w:pPr>
      <w:r>
        <w:t xml:space="preserve">Market Scanner</w:t>
      </w:r>
    </w:p>
    <w:p>
      <w:pPr>
        <w:pStyle w:val="Compact"/>
        <w:numPr>
          <w:ilvl w:val="0"/>
          <w:numId w:val="1009"/>
        </w:numPr>
      </w:pPr>
      <w:r>
        <w:t xml:space="preserve">Strategy Lab</w:t>
      </w:r>
    </w:p>
    <w:p>
      <w:pPr>
        <w:pStyle w:val="Compact"/>
        <w:numPr>
          <w:ilvl w:val="0"/>
          <w:numId w:val="1009"/>
        </w:numPr>
      </w:pPr>
      <w:r>
        <w:t xml:space="preserve">Reporting Services</w:t>
      </w:r>
    </w:p>
    <w:p>
      <w:pPr>
        <w:pStyle w:val="FirstParagraph"/>
      </w:pPr>
      <w:r>
        <w:t xml:space="preserve">All applications share the same platform architecture.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evolution-principles"/>
    <w:p>
      <w:pPr>
        <w:pStyle w:val="Heading1"/>
      </w:pPr>
      <w:r>
        <w:t xml:space="preserve">Product Evolution Principles</w:t>
      </w:r>
    </w:p>
    <w:p>
      <w:pPr>
        <w:pStyle w:val="FirstParagraph"/>
      </w:pPr>
      <w:r>
        <w:t xml:space="preserve">Every product enhancement shall:</w:t>
      </w:r>
    </w:p>
    <w:p>
      <w:pPr>
        <w:pStyle w:val="Compact"/>
        <w:numPr>
          <w:ilvl w:val="0"/>
          <w:numId w:val="1010"/>
        </w:numPr>
      </w:pPr>
      <w:r>
        <w:t xml:space="preserve">provide measurable user value</w:t>
      </w:r>
    </w:p>
    <w:p>
      <w:pPr>
        <w:pStyle w:val="Compact"/>
        <w:numPr>
          <w:ilvl w:val="0"/>
          <w:numId w:val="1010"/>
        </w:numPr>
      </w:pPr>
      <w:r>
        <w:t xml:space="preserve">preserve architectural consistency</w:t>
      </w:r>
    </w:p>
    <w:p>
      <w:pPr>
        <w:pStyle w:val="Compact"/>
        <w:numPr>
          <w:ilvl w:val="0"/>
          <w:numId w:val="1010"/>
        </w:numPr>
      </w:pPr>
      <w:r>
        <w:t xml:space="preserve">integrate into the existing user experience</w:t>
      </w:r>
    </w:p>
    <w:p>
      <w:pPr>
        <w:pStyle w:val="Compact"/>
        <w:numPr>
          <w:ilvl w:val="0"/>
          <w:numId w:val="1010"/>
        </w:numPr>
      </w:pPr>
      <w:r>
        <w:t xml:space="preserve">remain maintainable</w:t>
      </w:r>
    </w:p>
    <w:p>
      <w:pPr>
        <w:pStyle w:val="Compact"/>
        <w:numPr>
          <w:ilvl w:val="0"/>
          <w:numId w:val="1010"/>
        </w:numPr>
      </w:pPr>
      <w:r>
        <w:t xml:space="preserve">be fully documented</w:t>
      </w:r>
    </w:p>
    <w:p>
      <w:r>
        <w:pict>
          <v:rect style="width:0;height:1.5pt" o:hralign="center" o:hrstd="t" o:hr="t"/>
        </w:pict>
      </w:r>
    </w:p>
    <w:bookmarkEnd w:id="21"/>
    <w:bookmarkStart w:id="22" w:name="product-review-checklist"/>
    <w:p>
      <w:pPr>
        <w:pStyle w:val="Heading1"/>
      </w:pPr>
      <w:r>
        <w:t xml:space="preserve">Product Review Checklist</w:t>
      </w:r>
    </w:p>
    <w:p>
      <w:pPr>
        <w:pStyle w:val="FirstParagraph"/>
      </w:pPr>
      <w:r>
        <w:t xml:space="preserve">Before releasing new functionality verify:</w:t>
      </w:r>
    </w:p>
    <w:p>
      <w:pPr>
        <w:pStyle w:val="Compact"/>
        <w:numPr>
          <w:ilvl w:val="0"/>
          <w:numId w:val="1011"/>
        </w:numPr>
      </w:pPr>
      <w:r>
        <w:t xml:space="preserve">user value is clear</w:t>
      </w:r>
    </w:p>
    <w:p>
      <w:pPr>
        <w:pStyle w:val="Compact"/>
        <w:numPr>
          <w:ilvl w:val="0"/>
          <w:numId w:val="1011"/>
        </w:numPr>
      </w:pPr>
      <w:r>
        <w:t xml:space="preserve">scope is well defined</w:t>
      </w:r>
    </w:p>
    <w:p>
      <w:pPr>
        <w:pStyle w:val="Compact"/>
        <w:numPr>
          <w:ilvl w:val="0"/>
          <w:numId w:val="1011"/>
        </w:numPr>
      </w:pPr>
      <w:r>
        <w:t xml:space="preserve">documentation updated</w:t>
      </w:r>
    </w:p>
    <w:p>
      <w:pPr>
        <w:pStyle w:val="Compact"/>
        <w:numPr>
          <w:ilvl w:val="0"/>
          <w:numId w:val="1011"/>
        </w:numPr>
      </w:pPr>
      <w:r>
        <w:t xml:space="preserve">architecture preserved</w:t>
      </w:r>
    </w:p>
    <w:p>
      <w:pPr>
        <w:pStyle w:val="Compact"/>
        <w:numPr>
          <w:ilvl w:val="0"/>
          <w:numId w:val="1011"/>
        </w:numPr>
      </w:pPr>
      <w:r>
        <w:t xml:space="preserve">quality standards satisfied</w:t>
      </w:r>
    </w:p>
    <w:p>
      <w:r>
        <w:pict>
          <v:rect style="width:0;height:1.5pt" o:hralign="center" o:hrstd="t" o:hr="t"/>
        </w:pict>
      </w:r>
    </w:p>
    <w:bookmarkEnd w:id="22"/>
    <w:bookmarkStart w:id="23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12"/>
        </w:numPr>
      </w:pPr>
      <w:r>
        <w:t xml:space="preserve">Project_Overview.md</w:t>
      </w:r>
    </w:p>
    <w:p>
      <w:pPr>
        <w:pStyle w:val="Compact"/>
        <w:numPr>
          <w:ilvl w:val="0"/>
          <w:numId w:val="1012"/>
        </w:numPr>
      </w:pPr>
      <w:r>
        <w:t xml:space="preserve">Architecture.md</w:t>
      </w:r>
    </w:p>
    <w:p>
      <w:pPr>
        <w:pStyle w:val="Compact"/>
        <w:numPr>
          <w:ilvl w:val="0"/>
          <w:numId w:val="1012"/>
        </w:numPr>
      </w:pPr>
      <w:r>
        <w:t xml:space="preserve">Roadmap.md</w:t>
      </w:r>
    </w:p>
    <w:p>
      <w:pPr>
        <w:pStyle w:val="Compact"/>
        <w:numPr>
          <w:ilvl w:val="0"/>
          <w:numId w:val="1012"/>
        </w:numPr>
      </w:pPr>
      <w:r>
        <w:t xml:space="preserve">AGENTS.md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2026-07-03T12:38:35Z</dcterms:created>
  <dcterms:modified xsi:type="dcterms:W3CDTF">2026-07-03T12:38:35Z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