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directory contains Architecture Decision Records for Trading Platform Pro and its primary application, the Trading Cockpit.</w:t>
      </w:r>
    </w:p>
    <w:p>
      <w:pPr>
        <w:pStyle w:val="BodyText"/>
      </w:pPr>
      <w:r>
        <w:t xml:space="preserve">Architecture Decision Records preserve the context and rationale of significant architecture decisions.</w:t>
      </w:r>
    </w:p>
    <w:p>
      <w:pPr>
        <w:pStyle w:val="BodyText"/>
      </w:pPr>
      <w:r>
        <w:t xml:space="preserve">An ADR answers:</w:t>
      </w:r>
    </w:p>
    <w:p>
      <w:pPr>
        <w:pStyle w:val="BlockText"/>
      </w:pPr>
      <w:r>
        <w:t xml:space="preserve">Why was this architecture decision made?</w:t>
      </w:r>
    </w:p>
    <w:p>
      <w:pPr>
        <w:pStyle w:val="FirstParagraph"/>
      </w:pPr>
      <w:r>
        <w:t xml:space="preserve">Current architecture is documented in: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docs/architecture/Architecture.md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docs/architecture/Domain_Model.md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docs/architecture/Infrastructure.md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docs/architecture/Project_Structure.md</w:t>
      </w:r>
    </w:p>
    <w:p>
      <w:pPr>
        <w:pStyle w:val="FirstParagraph"/>
      </w:pPr>
      <w:r>
        <w:t xml:space="preserve">ADRs preserve decision history.</w:t>
      </w:r>
    </w:p>
    <w:p>
      <w:pPr>
        <w:pStyle w:val="BodyText"/>
      </w:pPr>
      <w:r>
        <w:t xml:space="preserve">They do not replace current architecture documentation.</w:t>
      </w:r>
    </w:p>
    <w:p>
      <w:r>
        <w:pict>
          <v:rect style="width:0;height:1.5pt" o:hralign="center" o:hrstd="t" o:hr="t"/>
        </w:pict>
      </w:r>
    </w:p>
    <w:bookmarkEnd w:id="10"/>
    <w:bookmarkStart w:id="11" w:name="product-direction"/>
    <w:p>
      <w:pPr>
        <w:pStyle w:val="Heading1"/>
      </w:pPr>
      <w:r>
        <w:t xml:space="preserve">Product Direction</w:t>
      </w:r>
    </w:p>
    <w:p>
      <w:pPr>
        <w:pStyle w:val="FirstParagraph"/>
      </w:pPr>
      <w:r>
        <w:t xml:space="preserve">Architecture decisions shall support the Trading Cockpit as the primary product.</w:t>
      </w:r>
    </w:p>
    <w:p>
      <w:pPr>
        <w:pStyle w:val="BodyText"/>
      </w:pPr>
      <w:r>
        <w:t xml:space="preserve">Current architecture follows:</w:t>
      </w:r>
    </w:p>
    <w:p>
      <w:pPr>
        <w:pStyle w:val="SourceCode"/>
      </w:pPr>
      <w:r>
        <w:rPr>
          <w:rStyle w:val="VerbatimChar"/>
        </w:rPr>
        <w:t xml:space="preserve">Trading Cockpit Requirement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Vertical Product Capability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Application and Domain Behaviour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Required Infrastructure</w:t>
      </w:r>
    </w:p>
    <w:p>
      <w:pPr>
        <w:pStyle w:val="FirstParagraph"/>
      </w:pPr>
      <w:r>
        <w:t xml:space="preserve">Shared platform capabilities may evolve when multiple concrete product capabilities require them.</w:t>
      </w:r>
    </w:p>
    <w:p>
      <w:pPr>
        <w:pStyle w:val="BodyText"/>
      </w:pPr>
      <w:r>
        <w:t xml:space="preserve">Do not create architecture decisions solely for hypothetical future applications or speculative scalability.</w:t>
      </w:r>
    </w:p>
    <w:p>
      <w:r>
        <w:pict>
          <v:rect style="width:0;height:1.5pt" o:hralign="center" o:hrstd="t" o:hr="t"/>
        </w:pict>
      </w:r>
    </w:p>
    <w:bookmarkEnd w:id="11"/>
    <w:bookmarkStart w:id="12" w:name="what-requires-an-adr"/>
    <w:p>
      <w:pPr>
        <w:pStyle w:val="Heading1"/>
      </w:pPr>
      <w:r>
        <w:t xml:space="preserve">What Requires an ADR</w:t>
      </w:r>
    </w:p>
    <w:p>
      <w:pPr>
        <w:pStyle w:val="FirstParagraph"/>
      </w:pPr>
      <w:r>
        <w:t xml:space="preserve">Create an ADR when a decision has significant and durable architecture impact.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02"/>
        </w:numPr>
      </w:pPr>
      <w:r>
        <w:t xml:space="preserve">architecture dependency direction</w:t>
      </w:r>
    </w:p>
    <w:p>
      <w:pPr>
        <w:pStyle w:val="Compact"/>
        <w:numPr>
          <w:ilvl w:val="0"/>
          <w:numId w:val="1002"/>
        </w:numPr>
      </w:pPr>
      <w:r>
        <w:t xml:space="preserve">major capability boundaries</w:t>
      </w:r>
    </w:p>
    <w:p>
      <w:pPr>
        <w:pStyle w:val="Compact"/>
        <w:numPr>
          <w:ilvl w:val="0"/>
          <w:numId w:val="1002"/>
        </w:numPr>
      </w:pPr>
      <w:r>
        <w:t xml:space="preserve">Domain ownership changes</w:t>
      </w:r>
    </w:p>
    <w:p>
      <w:pPr>
        <w:pStyle w:val="Compact"/>
        <w:numPr>
          <w:ilvl w:val="0"/>
          <w:numId w:val="1002"/>
        </w:numPr>
      </w:pPr>
      <w:r>
        <w:t xml:space="preserve">Application workflow ownership changes</w:t>
      </w:r>
    </w:p>
    <w:p>
      <w:pPr>
        <w:pStyle w:val="Compact"/>
        <w:numPr>
          <w:ilvl w:val="0"/>
          <w:numId w:val="1002"/>
        </w:numPr>
      </w:pPr>
      <w:r>
        <w:t xml:space="preserve">persistence architecture</w:t>
      </w:r>
    </w:p>
    <w:p>
      <w:pPr>
        <w:pStyle w:val="Compact"/>
        <w:numPr>
          <w:ilvl w:val="0"/>
          <w:numId w:val="1002"/>
        </w:numPr>
      </w:pPr>
      <w:r>
        <w:t xml:space="preserve">broker integration architecture</w:t>
      </w:r>
    </w:p>
    <w:p>
      <w:pPr>
        <w:pStyle w:val="Compact"/>
        <w:numPr>
          <w:ilvl w:val="0"/>
          <w:numId w:val="1002"/>
        </w:numPr>
      </w:pPr>
      <w:r>
        <w:t xml:space="preserve">market data integration architecture</w:t>
      </w:r>
    </w:p>
    <w:p>
      <w:pPr>
        <w:pStyle w:val="Compact"/>
        <w:numPr>
          <w:ilvl w:val="0"/>
          <w:numId w:val="1002"/>
        </w:numPr>
      </w:pPr>
      <w:r>
        <w:t xml:space="preserve">runtime lifecycle architecture</w:t>
      </w:r>
    </w:p>
    <w:p>
      <w:pPr>
        <w:pStyle w:val="Compact"/>
        <w:numPr>
          <w:ilvl w:val="0"/>
          <w:numId w:val="1002"/>
        </w:numPr>
      </w:pPr>
      <w:r>
        <w:t xml:space="preserve">AsyncIO integration strategy</w:t>
      </w:r>
    </w:p>
    <w:p>
      <w:pPr>
        <w:pStyle w:val="Compact"/>
        <w:numPr>
          <w:ilvl w:val="0"/>
          <w:numId w:val="1002"/>
        </w:numPr>
      </w:pPr>
      <w:r>
        <w:t xml:space="preserve">dependency injection strategy</w:t>
      </w:r>
    </w:p>
    <w:p>
      <w:pPr>
        <w:pStyle w:val="Compact"/>
        <w:numPr>
          <w:ilvl w:val="0"/>
          <w:numId w:val="1002"/>
        </w:numPr>
      </w:pPr>
      <w:r>
        <w:t xml:space="preserve">major framework selection</w:t>
      </w:r>
    </w:p>
    <w:p>
      <w:pPr>
        <w:pStyle w:val="Compact"/>
        <w:numPr>
          <w:ilvl w:val="0"/>
          <w:numId w:val="1002"/>
        </w:numPr>
      </w:pPr>
      <w:r>
        <w:t xml:space="preserve">cross-capability infrastructure</w:t>
      </w:r>
    </w:p>
    <w:p>
      <w:pPr>
        <w:pStyle w:val="Compact"/>
        <w:numPr>
          <w:ilvl w:val="0"/>
          <w:numId w:val="1002"/>
        </w:numPr>
      </w:pPr>
      <w:r>
        <w:t xml:space="preserve">significant external integration strategy</w:t>
      </w:r>
    </w:p>
    <w:p>
      <w:pPr>
        <w:pStyle w:val="FirstParagraph"/>
      </w:pPr>
      <w:r>
        <w:t xml:space="preserve">An ADR is particularly useful when:</w:t>
      </w:r>
    </w:p>
    <w:p>
      <w:pPr>
        <w:pStyle w:val="Compact"/>
        <w:numPr>
          <w:ilvl w:val="0"/>
          <w:numId w:val="1003"/>
        </w:numPr>
      </w:pPr>
      <w:r>
        <w:t xml:space="preserve">multiple materially different solutions exist</w:t>
      </w:r>
    </w:p>
    <w:p>
      <w:pPr>
        <w:pStyle w:val="Compact"/>
        <w:numPr>
          <w:ilvl w:val="0"/>
          <w:numId w:val="1003"/>
        </w:numPr>
      </w:pPr>
      <w:r>
        <w:t xml:space="preserve">the selected solution introduces durable constraints</w:t>
      </w:r>
    </w:p>
    <w:p>
      <w:pPr>
        <w:pStyle w:val="Compact"/>
        <w:numPr>
          <w:ilvl w:val="0"/>
          <w:numId w:val="1003"/>
        </w:numPr>
      </w:pPr>
      <w:r>
        <w:t xml:space="preserve">future developers may reasonably question the decision</w:t>
      </w:r>
    </w:p>
    <w:p>
      <w:pPr>
        <w:pStyle w:val="Compact"/>
        <w:numPr>
          <w:ilvl w:val="0"/>
          <w:numId w:val="1003"/>
        </w:numPr>
      </w:pPr>
      <w:r>
        <w:t xml:space="preserve">reversing the decision would require significant migration</w:t>
      </w:r>
    </w:p>
    <w:p>
      <w:r>
        <w:pict>
          <v:rect style="width:0;height:1.5pt" o:hralign="center" o:hrstd="t" o:hr="t"/>
        </w:pict>
      </w:r>
    </w:p>
    <w:bookmarkEnd w:id="12"/>
    <w:bookmarkStart w:id="13" w:name="what-does-not-require-an-adr"/>
    <w:p>
      <w:pPr>
        <w:pStyle w:val="Heading1"/>
      </w:pPr>
      <w:r>
        <w:t xml:space="preserve">What Does Not Require an ADR</w:t>
      </w:r>
    </w:p>
    <w:p>
      <w:pPr>
        <w:pStyle w:val="FirstParagraph"/>
      </w:pPr>
      <w:r>
        <w:t xml:space="preserve">Do not create an ADR for every implementation change.</w:t>
      </w:r>
    </w:p>
    <w:p>
      <w:pPr>
        <w:pStyle w:val="BodyText"/>
      </w:pPr>
      <w:r>
        <w:t xml:space="preserve">An ADR is normally not required for:</w:t>
      </w:r>
    </w:p>
    <w:p>
      <w:pPr>
        <w:pStyle w:val="Compact"/>
        <w:numPr>
          <w:ilvl w:val="0"/>
          <w:numId w:val="1004"/>
        </w:numPr>
      </w:pPr>
      <w:r>
        <w:t xml:space="preserve">bug fixes</w:t>
      </w:r>
    </w:p>
    <w:p>
      <w:pPr>
        <w:pStyle w:val="Compact"/>
        <w:numPr>
          <w:ilvl w:val="0"/>
          <w:numId w:val="1004"/>
        </w:numPr>
      </w:pPr>
      <w:r>
        <w:t xml:space="preserve">formatting changes</w:t>
      </w:r>
    </w:p>
    <w:p>
      <w:pPr>
        <w:pStyle w:val="Compact"/>
        <w:numPr>
          <w:ilvl w:val="0"/>
          <w:numId w:val="1004"/>
        </w:numPr>
      </w:pPr>
      <w:r>
        <w:t xml:space="preserve">documentation corrections</w:t>
      </w:r>
    </w:p>
    <w:p>
      <w:pPr>
        <w:pStyle w:val="Compact"/>
        <w:numPr>
          <w:ilvl w:val="0"/>
          <w:numId w:val="1004"/>
        </w:numPr>
      </w:pPr>
      <w:r>
        <w:t xml:space="preserve">local refactoring</w:t>
      </w:r>
    </w:p>
    <w:p>
      <w:pPr>
        <w:pStyle w:val="Compact"/>
        <w:numPr>
          <w:ilvl w:val="0"/>
          <w:numId w:val="1004"/>
        </w:numPr>
      </w:pPr>
      <w:r>
        <w:t xml:space="preserve">test additions</w:t>
      </w:r>
    </w:p>
    <w:p>
      <w:pPr>
        <w:pStyle w:val="Compact"/>
        <w:numPr>
          <w:ilvl w:val="0"/>
          <w:numId w:val="1004"/>
        </w:numPr>
      </w:pPr>
      <w:r>
        <w:t xml:space="preserve">naming changes</w:t>
      </w:r>
    </w:p>
    <w:p>
      <w:pPr>
        <w:pStyle w:val="Compact"/>
        <w:numPr>
          <w:ilvl w:val="0"/>
          <w:numId w:val="1004"/>
        </w:numPr>
      </w:pPr>
      <w:r>
        <w:t xml:space="preserve">small internal implementation details</w:t>
      </w:r>
    </w:p>
    <w:p>
      <w:pPr>
        <w:pStyle w:val="Compact"/>
        <w:numPr>
          <w:ilvl w:val="0"/>
          <w:numId w:val="1004"/>
        </w:numPr>
      </w:pPr>
      <w:r>
        <w:t xml:space="preserve">configuration value changes</w:t>
      </w:r>
    </w:p>
    <w:p>
      <w:pPr>
        <w:pStyle w:val="Compact"/>
        <w:numPr>
          <w:ilvl w:val="0"/>
          <w:numId w:val="1004"/>
        </w:numPr>
      </w:pPr>
      <w:r>
        <w:t xml:space="preserve">routine dependency updates</w:t>
      </w:r>
    </w:p>
    <w:p>
      <w:pPr>
        <w:pStyle w:val="FirstParagraph"/>
      </w:pPr>
      <w:r>
        <w:t xml:space="preserve">Do not create ADRs solely to document that code was changed.</w:t>
      </w:r>
    </w:p>
    <w:p>
      <w:pPr>
        <w:pStyle w:val="BodyText"/>
      </w:pPr>
      <w:r>
        <w:t xml:space="preserve">Implementation behaviour belongs in the relevant capability documentation.</w:t>
      </w:r>
    </w:p>
    <w:p>
      <w:r>
        <w:pict>
          <v:rect style="width:0;height:1.5pt" o:hralign="center" o:hrstd="t" o:hr="t"/>
        </w:pict>
      </w:r>
    </w:p>
    <w:bookmarkEnd w:id="13"/>
    <w:bookmarkStart w:id="14" w:name="adr-and-architecture-documentation"/>
    <w:p>
      <w:pPr>
        <w:pStyle w:val="Heading1"/>
      </w:pPr>
      <w:r>
        <w:t xml:space="preserve">ADR and Architecture Documentation</w:t>
      </w:r>
    </w:p>
    <w:p>
      <w:pPr>
        <w:pStyle w:val="FirstParagraph"/>
      </w:pPr>
      <w:r>
        <w:t xml:space="preserve">Architecture documentation describes the current intended architecture.</w:t>
      </w:r>
    </w:p>
    <w:p>
      <w:pPr>
        <w:pStyle w:val="BodyText"/>
      </w:pPr>
      <w:r>
        <w:t xml:space="preserve">ADR documentation describes why a significant architecture decision was made.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Architecture.md</w:t>
      </w:r>
      <w:r>
        <w:br/>
      </w:r>
      <w:r>
        <w:rPr>
          <w:rStyle w:val="VerbatimChar"/>
        </w:rPr>
        <w:t xml:space="preserve">    → Current dependency direction</w:t>
      </w:r>
      <w:r>
        <w:br/>
      </w:r>
      <w:r>
        <w:br/>
      </w:r>
      <w:r>
        <w:rPr>
          <w:rStyle w:val="VerbatimChar"/>
        </w:rPr>
        <w:t xml:space="preserve">ADR</w:t>
      </w:r>
      <w:r>
        <w:br/>
      </w:r>
      <w:r>
        <w:rPr>
          <w:rStyle w:val="VerbatimChar"/>
        </w:rPr>
        <w:t xml:space="preserve">    → Why this dependency direction was selected</w:t>
      </w:r>
    </w:p>
    <w:p>
      <w:pPr>
        <w:pStyle w:val="FirstParagraph"/>
      </w:pPr>
      <w:r>
        <w:t xml:space="preserve">When an accepted ADR changes current architecture:</w:t>
      </w:r>
    </w:p>
    <w:p>
      <w:pPr>
        <w:pStyle w:val="Compact"/>
        <w:numPr>
          <w:ilvl w:val="0"/>
          <w:numId w:val="1005"/>
        </w:numPr>
      </w:pPr>
      <w:r>
        <w:t xml:space="preserve">Create or update the ADR.</w:t>
      </w:r>
    </w:p>
    <w:p>
      <w:pPr>
        <w:pStyle w:val="Compact"/>
        <w:numPr>
          <w:ilvl w:val="0"/>
          <w:numId w:val="1005"/>
        </w:numPr>
      </w:pPr>
      <w:r>
        <w:t xml:space="preserve">Update affected architecture documentation.</w:t>
      </w:r>
    </w:p>
    <w:p>
      <w:pPr>
        <w:pStyle w:val="Compact"/>
        <w:numPr>
          <w:ilvl w:val="0"/>
          <w:numId w:val="1005"/>
        </w:numPr>
      </w:pPr>
      <w:r>
        <w:t xml:space="preserve">Update related technical documentation.</w:t>
      </w:r>
    </w:p>
    <w:p>
      <w:pPr>
        <w:pStyle w:val="Compact"/>
        <w:numPr>
          <w:ilvl w:val="0"/>
          <w:numId w:val="1005"/>
        </w:numPr>
      </w:pPr>
      <w:r>
        <w:t xml:space="preserve">Implement the architecture change.</w:t>
      </w:r>
    </w:p>
    <w:p>
      <w:pPr>
        <w:pStyle w:val="Compact"/>
        <w:numPr>
          <w:ilvl w:val="0"/>
          <w:numId w:val="1005"/>
        </w:numPr>
      </w:pPr>
      <w:r>
        <w:t xml:space="preserve">Add or update architecture tests where practical.</w:t>
      </w:r>
    </w:p>
    <w:p>
      <w:pPr>
        <w:pStyle w:val="FirstParagraph"/>
      </w:pPr>
      <w:r>
        <w:t xml:space="preserve">Do not leave current architecture documentation dependent on reading historical ADRs.</w:t>
      </w:r>
    </w:p>
    <w:p>
      <w:r>
        <w:pict>
          <v:rect style="width:0;height:1.5pt" o:hralign="center" o:hrstd="t" o:hr="t"/>
        </w:pict>
      </w:r>
    </w:p>
    <w:bookmarkEnd w:id="14"/>
    <w:bookmarkStart w:id="15" w:name="adr-immutability"/>
    <w:p>
      <w:pPr>
        <w:pStyle w:val="Heading1"/>
      </w:pPr>
      <w:r>
        <w:t xml:space="preserve">ADR Immutability</w:t>
      </w:r>
    </w:p>
    <w:p>
      <w:pPr>
        <w:pStyle w:val="FirstParagraph"/>
      </w:pPr>
      <w:r>
        <w:t xml:space="preserve">Accepted ADRs preserve historical decision context.</w:t>
      </w:r>
    </w:p>
    <w:p>
      <w:pPr>
        <w:pStyle w:val="BodyText"/>
      </w:pPr>
      <w:r>
        <w:t xml:space="preserve">After an ADR is accepted, do not rewrite its decision history to make it appear that the original decision was different.</w:t>
      </w:r>
    </w:p>
    <w:p>
      <w:pPr>
        <w:pStyle w:val="BodyText"/>
      </w:pPr>
      <w:r>
        <w:t xml:space="preserve">Minor corrections may be made for:</w:t>
      </w:r>
    </w:p>
    <w:p>
      <w:pPr>
        <w:pStyle w:val="Compact"/>
        <w:numPr>
          <w:ilvl w:val="0"/>
          <w:numId w:val="1006"/>
        </w:numPr>
      </w:pPr>
      <w:r>
        <w:t xml:space="preserve">spelling</w:t>
      </w:r>
    </w:p>
    <w:p>
      <w:pPr>
        <w:pStyle w:val="Compact"/>
        <w:numPr>
          <w:ilvl w:val="0"/>
          <w:numId w:val="1006"/>
        </w:numPr>
      </w:pPr>
      <w:r>
        <w:t xml:space="preserve">broken references</w:t>
      </w:r>
    </w:p>
    <w:p>
      <w:pPr>
        <w:pStyle w:val="Compact"/>
        <w:numPr>
          <w:ilvl w:val="0"/>
          <w:numId w:val="1006"/>
        </w:numPr>
      </w:pPr>
      <w:r>
        <w:t xml:space="preserve">formatting</w:t>
      </w:r>
    </w:p>
    <w:p>
      <w:pPr>
        <w:pStyle w:val="Compact"/>
        <w:numPr>
          <w:ilvl w:val="0"/>
          <w:numId w:val="1006"/>
        </w:numPr>
      </w:pPr>
      <w:r>
        <w:t xml:space="preserve">factual metadata errors</w:t>
      </w:r>
    </w:p>
    <w:p>
      <w:pPr>
        <w:pStyle w:val="FirstParagraph"/>
      </w:pPr>
      <w:r>
        <w:t xml:space="preserve">A materially changed architecture decision requires:</w:t>
      </w:r>
    </w:p>
    <w:p>
      <w:pPr>
        <w:pStyle w:val="Compact"/>
        <w:numPr>
          <w:ilvl w:val="0"/>
          <w:numId w:val="1007"/>
        </w:numPr>
      </w:pPr>
      <w:r>
        <w:t xml:space="preserve">a new ADR</w:t>
      </w:r>
    </w:p>
    <w:p>
      <w:pPr>
        <w:pStyle w:val="Compact"/>
        <w:numPr>
          <w:ilvl w:val="0"/>
          <w:numId w:val="1007"/>
        </w:numPr>
      </w:pPr>
      <w:r>
        <w:t xml:space="preserve">explicit reference to the previous ADR</w:t>
      </w:r>
    </w:p>
    <w:p>
      <w:pPr>
        <w:pStyle w:val="Compact"/>
        <w:numPr>
          <w:ilvl w:val="0"/>
          <w:numId w:val="1007"/>
        </w:numPr>
      </w:pPr>
      <w:r>
        <w:t xml:space="preserve">status update of the superseded ADR where appropriate</w:t>
      </w:r>
    </w:p>
    <w:p>
      <w:pPr>
        <w:pStyle w:val="FirstParagraph"/>
      </w:pPr>
      <w:r>
        <w:t xml:space="preserve">Architecture history shall remain traceable.</w:t>
      </w:r>
    </w:p>
    <w:p>
      <w:r>
        <w:pict>
          <v:rect style="width:0;height:1.5pt" o:hralign="center" o:hrstd="t" o:hr="t"/>
        </w:pict>
      </w:r>
    </w:p>
    <w:bookmarkEnd w:id="15"/>
    <w:bookmarkStart w:id="16" w:name="adr-status"/>
    <w:p>
      <w:pPr>
        <w:pStyle w:val="Heading1"/>
      </w:pPr>
      <w:r>
        <w:t xml:space="preserve">ADR Status</w:t>
      </w:r>
    </w:p>
    <w:p>
      <w:pPr>
        <w:pStyle w:val="FirstParagraph"/>
      </w:pPr>
      <w:r>
        <w:t xml:space="preserve">Use one of the following statuses:</w:t>
      </w:r>
    </w:p>
    <w:p>
      <w:pPr>
        <w:pStyle w:val="SourceCode"/>
      </w:pPr>
      <w:r>
        <w:rPr>
          <w:rStyle w:val="VerbatimChar"/>
        </w:rPr>
        <w:t xml:space="preserve">Proposed</w:t>
      </w:r>
      <w:r>
        <w:br/>
      </w:r>
      <w:r>
        <w:rPr>
          <w:rStyle w:val="VerbatimChar"/>
        </w:rPr>
        <w:t xml:space="preserve">Accepted</w:t>
      </w:r>
      <w:r>
        <w:br/>
      </w:r>
      <w:r>
        <w:rPr>
          <w:rStyle w:val="VerbatimChar"/>
        </w:rPr>
        <w:t xml:space="preserve">Superseded</w:t>
      </w:r>
      <w:r>
        <w:br/>
      </w:r>
      <w:r>
        <w:rPr>
          <w:rStyle w:val="VerbatimChar"/>
        </w:rPr>
        <w:t xml:space="preserve">Deprecated</w:t>
      </w:r>
      <w:r>
        <w:br/>
      </w:r>
      <w:r>
        <w:rPr>
          <w:rStyle w:val="VerbatimChar"/>
        </w:rPr>
        <w:t xml:space="preserve">Rejected</w:t>
      </w:r>
    </w:p>
    <w:p>
      <w:r>
        <w:pict>
          <v:rect style="width:0;height:1.5pt" o:hralign="center" o:hrstd="t" o:hr="t"/>
        </w:pict>
      </w:r>
    </w:p>
    <w:bookmarkEnd w:id="16"/>
    <w:bookmarkStart w:id="17" w:name="proposed"/>
    <w:p>
      <w:pPr>
        <w:pStyle w:val="Heading1"/>
      </w:pPr>
      <w:r>
        <w:t xml:space="preserve">Proposed</w:t>
      </w:r>
    </w:p>
    <w:p>
      <w:pPr>
        <w:pStyle w:val="FirstParagraph"/>
      </w:pPr>
      <w:r>
        <w:t xml:space="preserve">The decision is under consideration.</w:t>
      </w:r>
    </w:p>
    <w:p>
      <w:pPr>
        <w:pStyle w:val="BodyText"/>
      </w:pPr>
      <w:r>
        <w:t xml:space="preserve">A Proposed ADR may still change materially.</w:t>
      </w:r>
    </w:p>
    <w:p>
      <w:pPr>
        <w:pStyle w:val="BodyText"/>
      </w:pPr>
      <w:r>
        <w:t xml:space="preserve">Implementation shall not treat a Proposed ADR as an accepted architecture contract unless the development workflow explicitly requires an approved prototype.</w:t>
      </w:r>
    </w:p>
    <w:p>
      <w:r>
        <w:pict>
          <v:rect style="width:0;height:1.5pt" o:hralign="center" o:hrstd="t" o:hr="t"/>
        </w:pict>
      </w:r>
    </w:p>
    <w:bookmarkEnd w:id="17"/>
    <w:bookmarkStart w:id="18" w:name="accepted"/>
    <w:p>
      <w:pPr>
        <w:pStyle w:val="Heading1"/>
      </w:pPr>
      <w:r>
        <w:t xml:space="preserve">Accepted</w:t>
      </w:r>
    </w:p>
    <w:p>
      <w:pPr>
        <w:pStyle w:val="FirstParagraph"/>
      </w:pPr>
      <w:r>
        <w:t xml:space="preserve">The decision is approved and represents an active architecture decision.</w:t>
      </w:r>
    </w:p>
    <w:p>
      <w:pPr>
        <w:pStyle w:val="BodyText"/>
      </w:pPr>
      <w:r>
        <w:t xml:space="preserve">Current architecture documentation shall be consistent with accepted ADRs.</w:t>
      </w:r>
    </w:p>
    <w:p>
      <w:r>
        <w:pict>
          <v:rect style="width:0;height:1.5pt" o:hralign="center" o:hrstd="t" o:hr="t"/>
        </w:pict>
      </w:r>
    </w:p>
    <w:bookmarkEnd w:id="18"/>
    <w:bookmarkStart w:id="19" w:name="superseded"/>
    <w:p>
      <w:pPr>
        <w:pStyle w:val="Heading1"/>
      </w:pPr>
      <w:r>
        <w:t xml:space="preserve">Superseded</w:t>
      </w:r>
    </w:p>
    <w:p>
      <w:pPr>
        <w:pStyle w:val="FirstParagraph"/>
      </w:pPr>
      <w:r>
        <w:t xml:space="preserve">The decision has been replaced by another ADR.</w:t>
      </w:r>
    </w:p>
    <w:p>
      <w:pPr>
        <w:pStyle w:val="BodyText"/>
      </w:pPr>
      <w:r>
        <w:t xml:space="preserve">A Superseded ADR shall identify the replacing ADR.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Status: Superseded</w:t>
      </w:r>
      <w:r>
        <w:br/>
      </w:r>
      <w:r>
        <w:rPr>
          <w:rStyle w:val="VerbatimChar"/>
        </w:rPr>
        <w:t xml:space="preserve">Superseded by: ADR-0007</w:t>
      </w:r>
    </w:p>
    <w:p>
      <w:pPr>
        <w:pStyle w:val="FirstParagraph"/>
      </w:pPr>
      <w:r>
        <w:t xml:space="preserve">Do not delete superseded ADRs.</w:t>
      </w:r>
    </w:p>
    <w:p>
      <w:r>
        <w:pict>
          <v:rect style="width:0;height:1.5pt" o:hralign="center" o:hrstd="t" o:hr="t"/>
        </w:pict>
      </w:r>
    </w:p>
    <w:bookmarkEnd w:id="19"/>
    <w:bookmarkStart w:id="20" w:name="deprecated"/>
    <w:p>
      <w:pPr>
        <w:pStyle w:val="Heading1"/>
      </w:pPr>
      <w:r>
        <w:t xml:space="preserve">Deprecated</w:t>
      </w:r>
    </w:p>
    <w:p>
      <w:pPr>
        <w:pStyle w:val="FirstParagraph"/>
      </w:pPr>
      <w:r>
        <w:t xml:space="preserve">The decision is no longer recommended or is being phased out.</w:t>
      </w:r>
    </w:p>
    <w:p>
      <w:pPr>
        <w:pStyle w:val="BodyText"/>
      </w:pPr>
      <w:r>
        <w:t xml:space="preserve">Deprecated may be used when migration is incomplete and no single replacement ADR fully supersedes the decision.</w:t>
      </w:r>
    </w:p>
    <w:p>
      <w:pPr>
        <w:pStyle w:val="BodyText"/>
      </w:pPr>
      <w:r>
        <w:t xml:space="preserve">The ADR shall explain the current migration context.</w:t>
      </w:r>
    </w:p>
    <w:p>
      <w:r>
        <w:pict>
          <v:rect style="width:0;height:1.5pt" o:hralign="center" o:hrstd="t" o:hr="t"/>
        </w:pict>
      </w:r>
    </w:p>
    <w:bookmarkEnd w:id="20"/>
    <w:bookmarkStart w:id="21" w:name="rejected"/>
    <w:p>
      <w:pPr>
        <w:pStyle w:val="Heading1"/>
      </w:pPr>
      <w:r>
        <w:t xml:space="preserve">Rejected</w:t>
      </w:r>
    </w:p>
    <w:p>
      <w:pPr>
        <w:pStyle w:val="FirstParagraph"/>
      </w:pPr>
      <w:r>
        <w:t xml:space="preserve">The proposed decision was evaluated and explicitly not selected.</w:t>
      </w:r>
    </w:p>
    <w:p>
      <w:pPr>
        <w:pStyle w:val="BodyText"/>
      </w:pPr>
      <w:r>
        <w:t xml:space="preserve">Rejected ADRs may be preserved when the rationale provides durable architecture context.</w:t>
      </w:r>
    </w:p>
    <w:p>
      <w:pPr>
        <w:pStyle w:val="BodyText"/>
      </w:pPr>
      <w:r>
        <w:t xml:space="preserve">Do not create Rejected ADRs for every informal alternative discussed during development.</w:t>
      </w:r>
    </w:p>
    <w:p>
      <w:r>
        <w:pict>
          <v:rect style="width:0;height:1.5pt" o:hralign="center" o:hrstd="t" o:hr="t"/>
        </w:pict>
      </w:r>
    </w:p>
    <w:bookmarkEnd w:id="21"/>
    <w:bookmarkStart w:id="22" w:name="adr-numbering"/>
    <w:p>
      <w:pPr>
        <w:pStyle w:val="Heading1"/>
      </w:pPr>
      <w:r>
        <w:t xml:space="preserve">ADR Numbering</w:t>
      </w:r>
    </w:p>
    <w:p>
      <w:pPr>
        <w:pStyle w:val="FirstParagraph"/>
      </w:pPr>
      <w:r>
        <w:t xml:space="preserve">ADR files shall use sequential four-digit numbering.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NNNN-short-decision-title.md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0001-use-pyside6.md</w:t>
      </w:r>
      <w:r>
        <w:br/>
      </w:r>
      <w:r>
        <w:rPr>
          <w:rStyle w:val="VerbatimChar"/>
        </w:rPr>
        <w:t xml:space="preserve">0002-use-asyncio-runtime.md</w:t>
      </w:r>
      <w:r>
        <w:br/>
      </w:r>
      <w:r>
        <w:rPr>
          <w:rStyle w:val="VerbatimChar"/>
        </w:rPr>
        <w:t xml:space="preserve">0003-use-sqlalchemy-persistence.md</w:t>
      </w:r>
      <w:r>
        <w:br/>
      </w:r>
      <w:r>
        <w:rPr>
          <w:rStyle w:val="VerbatimChar"/>
        </w:rPr>
        <w:t xml:space="preserve">0004-separate-broker-and-market-data-lifecycles.md</w:t>
      </w:r>
    </w:p>
    <w:p>
      <w:pPr>
        <w:pStyle w:val="FirstParagraph"/>
      </w:pPr>
      <w:r>
        <w:t xml:space="preserve">Numbers shall not be reused.</w:t>
      </w:r>
    </w:p>
    <w:p>
      <w:pPr>
        <w:pStyle w:val="BodyText"/>
      </w:pPr>
      <w:r>
        <w:t xml:space="preserve">A removed or rejected ADR number remains part of the architecture history.</w:t>
      </w:r>
    </w:p>
    <w:p>
      <w:r>
        <w:pict>
          <v:rect style="width:0;height:1.5pt" o:hralign="center" o:hrstd="t" o:hr="t"/>
        </w:pict>
      </w:r>
    </w:p>
    <w:bookmarkEnd w:id="22"/>
    <w:bookmarkStart w:id="23" w:name="file-naming"/>
    <w:p>
      <w:pPr>
        <w:pStyle w:val="Heading1"/>
      </w:pPr>
      <w:r>
        <w:t xml:space="preserve">File Naming</w:t>
      </w:r>
    </w:p>
    <w:p>
      <w:pPr>
        <w:pStyle w:val="FirstParagraph"/>
      </w:pPr>
      <w:r>
        <w:t xml:space="preserve">Use:</w:t>
      </w:r>
    </w:p>
    <w:p>
      <w:pPr>
        <w:pStyle w:val="Compact"/>
        <w:numPr>
          <w:ilvl w:val="0"/>
          <w:numId w:val="1008"/>
        </w:numPr>
      </w:pPr>
      <w:r>
        <w:t xml:space="preserve">lowercase</w:t>
      </w:r>
    </w:p>
    <w:p>
      <w:pPr>
        <w:pStyle w:val="Compact"/>
        <w:numPr>
          <w:ilvl w:val="0"/>
          <w:numId w:val="1008"/>
        </w:numPr>
      </w:pPr>
      <w:r>
        <w:t xml:space="preserve">hyphen-separated words</w:t>
      </w:r>
    </w:p>
    <w:p>
      <w:pPr>
        <w:pStyle w:val="Compact"/>
        <w:numPr>
          <w:ilvl w:val="0"/>
          <w:numId w:val="1008"/>
        </w:numPr>
      </w:pPr>
      <w:r>
        <w:t xml:space="preserve">concise architecture decision description</w:t>
      </w:r>
    </w:p>
    <w:p>
      <w:pPr>
        <w:pStyle w:val="FirstParagraph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0005-use-vertical-product-slices.md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ADR5.md</w:t>
      </w:r>
      <w:r>
        <w:br/>
      </w:r>
      <w:r>
        <w:rPr>
          <w:rStyle w:val="VerbatimChar"/>
        </w:rPr>
        <w:t xml:space="preserve">decision_new.md</w:t>
      </w:r>
      <w:r>
        <w:br/>
      </w:r>
      <w:r>
        <w:rPr>
          <w:rStyle w:val="VerbatimChar"/>
        </w:rPr>
        <w:t xml:space="preserve">architecture_change_final.md</w:t>
      </w:r>
    </w:p>
    <w:p>
      <w:pPr>
        <w:pStyle w:val="FirstParagraph"/>
      </w:pPr>
      <w:r>
        <w:t xml:space="preserve">The filename shall communicate the primary decision.</w:t>
      </w:r>
    </w:p>
    <w:p>
      <w:r>
        <w:pict>
          <v:rect style="width:0;height:1.5pt" o:hralign="center" o:hrstd="t" o:hr="t"/>
        </w:pict>
      </w:r>
    </w:p>
    <w:bookmarkEnd w:id="23"/>
    <w:bookmarkStart w:id="24" w:name="adr-title"/>
    <w:p>
      <w:pPr>
        <w:pStyle w:val="Heading1"/>
      </w:pPr>
      <w:r>
        <w:t xml:space="preserve">ADR Title</w:t>
      </w:r>
    </w:p>
    <w:p>
      <w:pPr>
        <w:pStyle w:val="FirstParagraph"/>
      </w:pPr>
      <w:r>
        <w:t xml:space="preserve">The ADR title shall describe the decision.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# ADR-0005: Use Vertical Product Slices</w:t>
      </w:r>
    </w:p>
    <w:p>
      <w:pPr>
        <w:pStyle w:val="FirstParagraph"/>
      </w:pPr>
      <w:r>
        <w:t xml:space="preserve">Prefer decision-oriented titles.</w:t>
      </w:r>
    </w:p>
    <w:p>
      <w:pPr>
        <w:pStyle w:val="BodyText"/>
      </w:pPr>
      <w:r>
        <w:t xml:space="preserve">Avoid vague titles such as:</w:t>
      </w:r>
    </w:p>
    <w:p>
      <w:pPr>
        <w:pStyle w:val="SourceCode"/>
      </w:pPr>
      <w:r>
        <w:rPr>
          <w:rStyle w:val="VerbatimChar"/>
        </w:rPr>
        <w:t xml:space="preserve">Architecture Update</w:t>
      </w:r>
      <w:r>
        <w:br/>
      </w:r>
      <w:r>
        <w:rPr>
          <w:rStyle w:val="VerbatimChar"/>
        </w:rPr>
        <w:t xml:space="preserve">Platform Changes</w:t>
      </w:r>
      <w:r>
        <w:br/>
      </w:r>
      <w:r>
        <w:rPr>
          <w:rStyle w:val="VerbatimChar"/>
        </w:rPr>
        <w:t xml:space="preserve">New Design</w:t>
      </w:r>
    </w:p>
    <w:p>
      <w:r>
        <w:pict>
          <v:rect style="width:0;height:1.5pt" o:hralign="center" o:hrstd="t" o:hr="t"/>
        </w:pict>
      </w:r>
    </w:p>
    <w:bookmarkEnd w:id="24"/>
    <w:bookmarkStart w:id="25" w:name="required-adr-structure"/>
    <w:p>
      <w:pPr>
        <w:pStyle w:val="Heading1"/>
      </w:pPr>
      <w:r>
        <w:t xml:space="preserve">Required ADR Structure</w:t>
      </w:r>
    </w:p>
    <w:p>
      <w:pPr>
        <w:pStyle w:val="FirstParagraph"/>
      </w:pPr>
      <w:r>
        <w:t xml:space="preserve">Every ADR shall use the following structure:</w:t>
      </w:r>
    </w:p>
    <w:p>
      <w:pPr>
        <w:pStyle w:val="SourceCode"/>
      </w:pPr>
      <w:r>
        <w:rPr>
          <w:rStyle w:val="VerbatimChar"/>
        </w:rPr>
        <w:t xml:space="preserve"># ADR-NNNN: Decision Title</w:t>
      </w:r>
      <w:r>
        <w:br/>
      </w:r>
      <w:r>
        <w:br/>
      </w:r>
      <w:r>
        <w:rPr>
          <w:rStyle w:val="VerbatimChar"/>
        </w:rPr>
        <w:t xml:space="preserve">Status: Proposed</w:t>
      </w:r>
      <w:r>
        <w:br/>
      </w:r>
      <w:r>
        <w:rPr>
          <w:rStyle w:val="VerbatimChar"/>
        </w:rPr>
        <w:t xml:space="preserve">Date: YYYY-MM-DD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Context</w:t>
      </w:r>
      <w:r>
        <w:br/>
      </w:r>
      <w:r>
        <w:br/>
      </w:r>
      <w:r>
        <w:rPr>
          <w:rStyle w:val="VerbatimChar"/>
        </w:rPr>
        <w:t xml:space="preserve">Describe the concrete product or technical problem.</w:t>
      </w:r>
      <w:r>
        <w:br/>
      </w:r>
      <w:r>
        <w:br/>
      </w:r>
      <w:r>
        <w:rPr>
          <w:rStyle w:val="VerbatimChar"/>
        </w:rPr>
        <w:t xml:space="preserve">Explain:</w:t>
      </w:r>
      <w:r>
        <w:br/>
      </w:r>
      <w:r>
        <w:br/>
      </w:r>
      <w:r>
        <w:rPr>
          <w:rStyle w:val="VerbatimChar"/>
        </w:rPr>
        <w:t xml:space="preserve">- current situation</w:t>
      </w:r>
      <w:r>
        <w:br/>
      </w:r>
      <w:r>
        <w:rPr>
          <w:rStyle w:val="VerbatimChar"/>
        </w:rPr>
        <w:t xml:space="preserve">- affected capability</w:t>
      </w:r>
      <w:r>
        <w:br/>
      </w:r>
      <w:r>
        <w:rPr>
          <w:rStyle w:val="VerbatimChar"/>
        </w:rPr>
        <w:t xml:space="preserve">- architecture constraint</w:t>
      </w:r>
      <w:r>
        <w:br/>
      </w:r>
      <w:r>
        <w:rPr>
          <w:rStyle w:val="VerbatimChar"/>
        </w:rPr>
        <w:t xml:space="preserve">- why a durable decision is required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Decision</w:t>
      </w:r>
      <w:r>
        <w:br/>
      </w:r>
      <w:r>
        <w:br/>
      </w:r>
      <w:r>
        <w:rPr>
          <w:rStyle w:val="VerbatimChar"/>
        </w:rPr>
        <w:t xml:space="preserve">Describe the selected architecture decision.</w:t>
      </w:r>
      <w:r>
        <w:br/>
      </w:r>
      <w:r>
        <w:br/>
      </w:r>
      <w:r>
        <w:rPr>
          <w:rStyle w:val="VerbatimChar"/>
        </w:rPr>
        <w:t xml:space="preserve">State the decision explicitly.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Rationale</w:t>
      </w:r>
      <w:r>
        <w:br/>
      </w:r>
      <w:r>
        <w:br/>
      </w:r>
      <w:r>
        <w:rPr>
          <w:rStyle w:val="VerbatimChar"/>
        </w:rPr>
        <w:t xml:space="preserve">Explain why the selected decision was chosen.</w:t>
      </w:r>
      <w:r>
        <w:br/>
      </w:r>
      <w:r>
        <w:br/>
      </w:r>
      <w:r>
        <w:rPr>
          <w:rStyle w:val="VerbatimChar"/>
        </w:rPr>
        <w:t xml:space="preserve">Describe the important decision criteria.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Alternatives Considered</w:t>
      </w:r>
      <w:r>
        <w:br/>
      </w:r>
      <w:r>
        <w:br/>
      </w:r>
      <w:r>
        <w:rPr>
          <w:rStyle w:val="VerbatimChar"/>
        </w:rPr>
        <w:t xml:space="preserve">## Alternative A</w:t>
      </w:r>
      <w:r>
        <w:br/>
      </w:r>
      <w:r>
        <w:br/>
      </w:r>
      <w:r>
        <w:rPr>
          <w:rStyle w:val="VerbatimChar"/>
        </w:rPr>
        <w:t xml:space="preserve">Describe the alternative.</w:t>
      </w:r>
      <w:r>
        <w:br/>
      </w:r>
      <w:r>
        <w:br/>
      </w:r>
      <w:r>
        <w:rPr>
          <w:rStyle w:val="VerbatimChar"/>
        </w:rPr>
        <w:t xml:space="preserve">Explain why it was not selected.</w:t>
      </w:r>
      <w:r>
        <w:br/>
      </w:r>
      <w:r>
        <w:br/>
      </w:r>
      <w:r>
        <w:rPr>
          <w:rStyle w:val="VerbatimChar"/>
        </w:rPr>
        <w:t xml:space="preserve">## Alternative B</w:t>
      </w:r>
      <w:r>
        <w:br/>
      </w:r>
      <w:r>
        <w:br/>
      </w:r>
      <w:r>
        <w:rPr>
          <w:rStyle w:val="VerbatimChar"/>
        </w:rPr>
        <w:t xml:space="preserve">Describe the alternative.</w:t>
      </w:r>
      <w:r>
        <w:br/>
      </w:r>
      <w:r>
        <w:br/>
      </w:r>
      <w:r>
        <w:rPr>
          <w:rStyle w:val="VerbatimChar"/>
        </w:rPr>
        <w:t xml:space="preserve">Explain why it was not selected.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Consequences</w:t>
      </w:r>
      <w:r>
        <w:br/>
      </w:r>
      <w:r>
        <w:br/>
      </w:r>
      <w:r>
        <w:rPr>
          <w:rStyle w:val="VerbatimChar"/>
        </w:rPr>
        <w:t xml:space="preserve">## Positive Consequences</w:t>
      </w:r>
      <w:r>
        <w:br/>
      </w:r>
      <w:r>
        <w:br/>
      </w:r>
      <w:r>
        <w:rPr>
          <w:rStyle w:val="VerbatimChar"/>
        </w:rPr>
        <w:t xml:space="preserve">Describe expected benefits.</w:t>
      </w:r>
      <w:r>
        <w:br/>
      </w:r>
      <w:r>
        <w:br/>
      </w:r>
      <w:r>
        <w:rPr>
          <w:rStyle w:val="VerbatimChar"/>
        </w:rPr>
        <w:t xml:space="preserve">## Negative Consequences</w:t>
      </w:r>
      <w:r>
        <w:br/>
      </w:r>
      <w:r>
        <w:br/>
      </w:r>
      <w:r>
        <w:rPr>
          <w:rStyle w:val="VerbatimChar"/>
        </w:rPr>
        <w:t xml:space="preserve">Describe accepted costs or limitations.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Implementation Impact</w:t>
      </w:r>
      <w:r>
        <w:br/>
      </w:r>
      <w:r>
        <w:br/>
      </w:r>
      <w:r>
        <w:rPr>
          <w:rStyle w:val="VerbatimChar"/>
        </w:rPr>
        <w:t xml:space="preserve">Identify affected architecture areas.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br/>
      </w:r>
      <w:r>
        <w:rPr>
          <w:rStyle w:val="VerbatimChar"/>
        </w:rPr>
        <w:t xml:space="preserve">- Domain</w:t>
      </w:r>
      <w:r>
        <w:br/>
      </w:r>
      <w:r>
        <w:rPr>
          <w:rStyle w:val="VerbatimChar"/>
        </w:rPr>
        <w:t xml:space="preserve">- Application</w:t>
      </w:r>
      <w:r>
        <w:br/>
      </w:r>
      <w:r>
        <w:rPr>
          <w:rStyle w:val="VerbatimChar"/>
        </w:rPr>
        <w:t xml:space="preserve">- Infrastructure</w:t>
      </w:r>
      <w:r>
        <w:br/>
      </w:r>
      <w:r>
        <w:rPr>
          <w:rStyle w:val="VerbatimChar"/>
        </w:rPr>
        <w:t xml:space="preserve">- Presentation</w:t>
      </w:r>
      <w:r>
        <w:br/>
      </w:r>
      <w:r>
        <w:rPr>
          <w:rStyle w:val="VerbatimChar"/>
        </w:rPr>
        <w:t xml:space="preserve">- Runtime</w:t>
      </w:r>
      <w:r>
        <w:br/>
      </w:r>
      <w:r>
        <w:rPr>
          <w:rStyle w:val="VerbatimChar"/>
        </w:rPr>
        <w:t xml:space="preserve">- Persistence</w:t>
      </w:r>
      <w:r>
        <w:br/>
      </w:r>
      <w:r>
        <w:rPr>
          <w:rStyle w:val="VerbatimChar"/>
        </w:rPr>
        <w:t xml:space="preserve">- Configuration</w:t>
      </w:r>
      <w:r>
        <w:br/>
      </w:r>
      <w:r>
        <w:rPr>
          <w:rStyle w:val="VerbatimChar"/>
        </w:rPr>
        <w:t xml:space="preserve">- Testing</w:t>
      </w:r>
      <w:r>
        <w:br/>
      </w:r>
      <w:r>
        <w:br/>
      </w:r>
      <w:r>
        <w:rPr>
          <w:rStyle w:val="VerbatimChar"/>
        </w:rPr>
        <w:t xml:space="preserve">Do not list unaffected areas solely to make the ADR appear comprehensive.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Migration</w:t>
      </w:r>
      <w:r>
        <w:br/>
      </w:r>
      <w:r>
        <w:br/>
      </w:r>
      <w:r>
        <w:rPr>
          <w:rStyle w:val="VerbatimChar"/>
        </w:rPr>
        <w:t xml:space="preserve">Describe migration requirements where applicable.</w:t>
      </w:r>
      <w:r>
        <w:br/>
      </w:r>
      <w:r>
        <w:br/>
      </w:r>
      <w:r>
        <w:rPr>
          <w:rStyle w:val="VerbatimChar"/>
        </w:rPr>
        <w:t xml:space="preserve">If no migration is required:</w:t>
      </w:r>
      <w:r>
        <w:br/>
      </w:r>
      <w:r>
        <w:br/>
      </w:r>
      <w:r>
        <w:rPr>
          <w:rStyle w:val="VerbatimChar"/>
        </w:rPr>
        <w:t xml:space="preserve">No migration is required.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Validation</w:t>
      </w:r>
      <w:r>
        <w:br/>
      </w:r>
      <w:r>
        <w:br/>
      </w:r>
      <w:r>
        <w:rPr>
          <w:rStyle w:val="VerbatimChar"/>
        </w:rPr>
        <w:t xml:space="preserve">Describe how architecture compliance can be verified.</w:t>
      </w:r>
      <w:r>
        <w:br/>
      </w:r>
      <w:r>
        <w:br/>
      </w:r>
      <w:r>
        <w:rPr>
          <w:rStyle w:val="VerbatimChar"/>
        </w:rPr>
        <w:t xml:space="preserve">Examples:</w:t>
      </w:r>
      <w:r>
        <w:br/>
      </w:r>
      <w:r>
        <w:br/>
      </w:r>
      <w:r>
        <w:rPr>
          <w:rStyle w:val="VerbatimChar"/>
        </w:rPr>
        <w:t xml:space="preserve">- architecture tests</w:t>
      </w:r>
      <w:r>
        <w:br/>
      </w:r>
      <w:r>
        <w:rPr>
          <w:rStyle w:val="VerbatimChar"/>
        </w:rPr>
        <w:t xml:space="preserve">- dependency checks</w:t>
      </w:r>
      <w:r>
        <w:br/>
      </w:r>
      <w:r>
        <w:rPr>
          <w:rStyle w:val="VerbatimChar"/>
        </w:rPr>
        <w:t xml:space="preserve">- integration tests</w:t>
      </w:r>
      <w:r>
        <w:br/>
      </w:r>
      <w:r>
        <w:rPr>
          <w:rStyle w:val="VerbatimChar"/>
        </w:rPr>
        <w:t xml:space="preserve">- runtime tests</w:t>
      </w:r>
      <w:r>
        <w:br/>
      </w:r>
      <w:r>
        <w:rPr>
          <w:rStyle w:val="VerbatimChar"/>
        </w:rPr>
        <w:t xml:space="preserve">- documentation review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Related Documents</w:t>
      </w:r>
      <w:r>
        <w:br/>
      </w:r>
      <w:r>
        <w:br/>
      </w:r>
      <w:r>
        <w:rPr>
          <w:rStyle w:val="VerbatimChar"/>
        </w:rPr>
        <w:t xml:space="preserve">- Architecture.md</w:t>
      </w:r>
      <w:r>
        <w:br/>
      </w:r>
      <w:r>
        <w:rPr>
          <w:rStyle w:val="VerbatimChar"/>
        </w:rPr>
        <w:t xml:space="preserve">- Infrastructure.md</w:t>
      </w:r>
    </w:p>
    <w:p>
      <w:pPr>
        <w:pStyle w:val="FirstParagraph"/>
      </w:pPr>
      <w:r>
        <w:t xml:space="preserve">Additional sections may be added when the decision requires them.</w:t>
      </w:r>
    </w:p>
    <w:p>
      <w:pPr>
        <w:pStyle w:val="BodyText"/>
      </w:pPr>
      <w:r>
        <w:t xml:space="preserve">Do not remove the core decision context.</w:t>
      </w:r>
    </w:p>
    <w:p>
      <w:r>
        <w:pict>
          <v:rect style="width:0;height:1.5pt" o:hralign="center" o:hrstd="t" o:hr="t"/>
        </w:pict>
      </w:r>
    </w:p>
    <w:bookmarkEnd w:id="25"/>
    <w:bookmarkStart w:id="26" w:name="context"/>
    <w:p>
      <w:pPr>
        <w:pStyle w:val="Heading1"/>
      </w:pPr>
      <w:r>
        <w:t xml:space="preserve">Context</w:t>
      </w:r>
    </w:p>
    <w:p>
      <w:pPr>
        <w:pStyle w:val="FirstParagraph"/>
      </w:pPr>
      <w:r>
        <w:t xml:space="preserve">The Context section shall describe the problem before describing the selected solution.</w:t>
      </w:r>
    </w:p>
    <w:p>
      <w:pPr>
        <w:pStyle w:val="BodyText"/>
      </w:pPr>
      <w:r>
        <w:t xml:space="preserve">Avoid writing the Context section as a justification of a decision that has already been assumed.</w:t>
      </w:r>
    </w:p>
    <w:p>
      <w:pPr>
        <w:pStyle w:val="BodyText"/>
      </w:pPr>
      <w:r>
        <w:t xml:space="preserve">Good context identifies:</w:t>
      </w:r>
    </w:p>
    <w:p>
      <w:pPr>
        <w:pStyle w:val="Compact"/>
        <w:numPr>
          <w:ilvl w:val="0"/>
          <w:numId w:val="1009"/>
        </w:numPr>
      </w:pPr>
      <w:r>
        <w:t xml:space="preserve">concrete requirement</w:t>
      </w:r>
    </w:p>
    <w:p>
      <w:pPr>
        <w:pStyle w:val="Compact"/>
        <w:numPr>
          <w:ilvl w:val="0"/>
          <w:numId w:val="1009"/>
        </w:numPr>
      </w:pPr>
      <w:r>
        <w:t xml:space="preserve">current limitation</w:t>
      </w:r>
    </w:p>
    <w:p>
      <w:pPr>
        <w:pStyle w:val="Compact"/>
        <w:numPr>
          <w:ilvl w:val="0"/>
          <w:numId w:val="1009"/>
        </w:numPr>
      </w:pPr>
      <w:r>
        <w:t xml:space="preserve">affected capability</w:t>
      </w:r>
    </w:p>
    <w:p>
      <w:pPr>
        <w:pStyle w:val="Compact"/>
        <w:numPr>
          <w:ilvl w:val="0"/>
          <w:numId w:val="1009"/>
        </w:numPr>
      </w:pPr>
      <w:r>
        <w:t xml:space="preserve">relevant architecture constraint</w:t>
      </w:r>
    </w:p>
    <w:p>
      <w:pPr>
        <w:pStyle w:val="FirstParagraph"/>
      </w:pPr>
      <w:r>
        <w:t xml:space="preserve">Do not use hypothetical future scale as the only context unless a concrete approved requirement exists.</w:t>
      </w:r>
    </w:p>
    <w:p>
      <w:r>
        <w:pict>
          <v:rect style="width:0;height:1.5pt" o:hralign="center" o:hrstd="t" o:hr="t"/>
        </w:pict>
      </w:r>
    </w:p>
    <w:bookmarkEnd w:id="26"/>
    <w:bookmarkStart w:id="27" w:name="decision"/>
    <w:p>
      <w:pPr>
        <w:pStyle w:val="Heading1"/>
      </w:pPr>
      <w:r>
        <w:t xml:space="preserve">Decision</w:t>
      </w:r>
    </w:p>
    <w:p>
      <w:pPr>
        <w:pStyle w:val="FirstParagraph"/>
      </w:pPr>
      <w:r>
        <w:t xml:space="preserve">The Decision section shall be explicit.</w:t>
      </w:r>
    </w:p>
    <w:p>
      <w:pPr>
        <w:pStyle w:val="BodyText"/>
      </w:pPr>
      <w:r>
        <w:t xml:space="preserve">Prefer:</w:t>
      </w:r>
    </w:p>
    <w:p>
      <w:pPr>
        <w:pStyle w:val="SourceCode"/>
      </w:pPr>
      <w:r>
        <w:rPr>
          <w:rStyle w:val="VerbatimChar"/>
        </w:rPr>
        <w:t xml:space="preserve">The Trading Cockpit shall organize product behaviour around vertical product capabilities while preserving architecture dependency direction.</w:t>
      </w:r>
    </w:p>
    <w:p>
      <w:pPr>
        <w:pStyle w:val="FirstParagraph"/>
      </w:pPr>
      <w:r>
        <w:t xml:space="preserve">Avoid:</w:t>
      </w:r>
    </w:p>
    <w:p>
      <w:pPr>
        <w:pStyle w:val="SourceCode"/>
      </w:pPr>
      <w:r>
        <w:rPr>
          <w:rStyle w:val="VerbatimChar"/>
        </w:rPr>
        <w:t xml:space="preserve">We should probably consider a more modular architecture.</w:t>
      </w:r>
    </w:p>
    <w:p>
      <w:pPr>
        <w:pStyle w:val="FirstParagraph"/>
      </w:pPr>
      <w:r>
        <w:t xml:space="preserve">The selected architecture direction shall be unambiguous.</w:t>
      </w:r>
    </w:p>
    <w:p>
      <w:r>
        <w:pict>
          <v:rect style="width:0;height:1.5pt" o:hralign="center" o:hrstd="t" o:hr="t"/>
        </w:pict>
      </w:r>
    </w:p>
    <w:bookmarkEnd w:id="27"/>
    <w:bookmarkStart w:id="28" w:name="rationale"/>
    <w:p>
      <w:pPr>
        <w:pStyle w:val="Heading1"/>
      </w:pPr>
      <w:r>
        <w:t xml:space="preserve">Rationale</w:t>
      </w:r>
    </w:p>
    <w:p>
      <w:pPr>
        <w:pStyle w:val="FirstParagraph"/>
      </w:pPr>
      <w:r>
        <w:t xml:space="preserve">The Rationale section explains why the decision was selected.</w:t>
      </w:r>
    </w:p>
    <w:p>
      <w:pPr>
        <w:pStyle w:val="BodyText"/>
      </w:pPr>
      <w:r>
        <w:t xml:space="preserve">Relevant criteria may include:</w:t>
      </w:r>
    </w:p>
    <w:p>
      <w:pPr>
        <w:pStyle w:val="Compact"/>
        <w:numPr>
          <w:ilvl w:val="0"/>
          <w:numId w:val="1010"/>
        </w:numPr>
      </w:pPr>
      <w:r>
        <w:t xml:space="preserve">product requirement</w:t>
      </w:r>
    </w:p>
    <w:p>
      <w:pPr>
        <w:pStyle w:val="Compact"/>
        <w:numPr>
          <w:ilvl w:val="0"/>
          <w:numId w:val="1010"/>
        </w:numPr>
      </w:pPr>
      <w:r>
        <w:t xml:space="preserve">architecture consistency</w:t>
      </w:r>
    </w:p>
    <w:p>
      <w:pPr>
        <w:pStyle w:val="Compact"/>
        <w:numPr>
          <w:ilvl w:val="0"/>
          <w:numId w:val="1010"/>
        </w:numPr>
      </w:pPr>
      <w:r>
        <w:t xml:space="preserve">capability ownership</w:t>
      </w:r>
    </w:p>
    <w:p>
      <w:pPr>
        <w:pStyle w:val="Compact"/>
        <w:numPr>
          <w:ilvl w:val="0"/>
          <w:numId w:val="1010"/>
        </w:numPr>
      </w:pPr>
      <w:r>
        <w:t xml:space="preserve">maintainability</w:t>
      </w:r>
    </w:p>
    <w:p>
      <w:pPr>
        <w:pStyle w:val="Compact"/>
        <w:numPr>
          <w:ilvl w:val="0"/>
          <w:numId w:val="1010"/>
        </w:numPr>
      </w:pPr>
      <w:r>
        <w:t xml:space="preserve">testability</w:t>
      </w:r>
    </w:p>
    <w:p>
      <w:pPr>
        <w:pStyle w:val="Compact"/>
        <w:numPr>
          <w:ilvl w:val="0"/>
          <w:numId w:val="1010"/>
        </w:numPr>
      </w:pPr>
      <w:r>
        <w:t xml:space="preserve">operational safety</w:t>
      </w:r>
    </w:p>
    <w:p>
      <w:pPr>
        <w:pStyle w:val="Compact"/>
        <w:numPr>
          <w:ilvl w:val="0"/>
          <w:numId w:val="1010"/>
        </w:numPr>
      </w:pPr>
      <w:r>
        <w:t xml:space="preserve">migration cost</w:t>
      </w:r>
    </w:p>
    <w:p>
      <w:pPr>
        <w:pStyle w:val="Compact"/>
        <w:numPr>
          <w:ilvl w:val="0"/>
          <w:numId w:val="1010"/>
        </w:numPr>
      </w:pPr>
      <w:r>
        <w:t xml:space="preserve">runtime behaviour</w:t>
      </w:r>
    </w:p>
    <w:p>
      <w:pPr>
        <w:pStyle w:val="FirstParagraph"/>
      </w:pPr>
      <w:r>
        <w:t xml:space="preserve">Do not use generic claims such as:</w:t>
      </w:r>
    </w:p>
    <w:p>
      <w:pPr>
        <w:pStyle w:val="SourceCode"/>
      </w:pPr>
      <w:r>
        <w:rPr>
          <w:rStyle w:val="VerbatimChar"/>
        </w:rPr>
        <w:t xml:space="preserve">More scalable</w:t>
      </w:r>
      <w:r>
        <w:br/>
      </w:r>
      <w:r>
        <w:rPr>
          <w:rStyle w:val="VerbatimChar"/>
        </w:rPr>
        <w:t xml:space="preserve">More enterprise-ready</w:t>
      </w:r>
      <w:r>
        <w:br/>
      </w:r>
      <w:r>
        <w:rPr>
          <w:rStyle w:val="VerbatimChar"/>
        </w:rPr>
        <w:t xml:space="preserve">More modern</w:t>
      </w:r>
    </w:p>
    <w:p>
      <w:pPr>
        <w:pStyle w:val="FirstParagraph"/>
      </w:pPr>
      <w:r>
        <w:t xml:space="preserve">without a concrete project-specific reason.</w:t>
      </w:r>
    </w:p>
    <w:p>
      <w:r>
        <w:pict>
          <v:rect style="width:0;height:1.5pt" o:hralign="center" o:hrstd="t" o:hr="t"/>
        </w:pict>
      </w:r>
    </w:p>
    <w:bookmarkEnd w:id="28"/>
    <w:bookmarkStart w:id="29" w:name="alternatives-considered"/>
    <w:p>
      <w:pPr>
        <w:pStyle w:val="Heading1"/>
      </w:pPr>
      <w:r>
        <w:t xml:space="preserve">Alternatives Considered</w:t>
      </w:r>
    </w:p>
    <w:p>
      <w:pPr>
        <w:pStyle w:val="FirstParagraph"/>
      </w:pPr>
      <w:r>
        <w:t xml:space="preserve">Document materially relevant alternatives.</w:t>
      </w:r>
    </w:p>
    <w:p>
      <w:pPr>
        <w:pStyle w:val="BodyText"/>
      </w:pPr>
      <w:r>
        <w:t xml:space="preserve">An alternative should have been realistic enough to affect the decision.</w:t>
      </w:r>
    </w:p>
    <w:p>
      <w:pPr>
        <w:pStyle w:val="BodyText"/>
      </w:pPr>
      <w:r>
        <w:t xml:space="preserve">Do not invent artificial alternatives solely to complete the ADR template.</w:t>
      </w:r>
    </w:p>
    <w:p>
      <w:pPr>
        <w:pStyle w:val="BodyText"/>
      </w:pPr>
      <w:r>
        <w:t xml:space="preserve">For each alternative explain:</w:t>
      </w:r>
    </w:p>
    <w:p>
      <w:pPr>
        <w:pStyle w:val="Compact"/>
        <w:numPr>
          <w:ilvl w:val="0"/>
          <w:numId w:val="1011"/>
        </w:numPr>
      </w:pPr>
      <w:r>
        <w:t xml:space="preserve">what the alternative is</w:t>
      </w:r>
    </w:p>
    <w:p>
      <w:pPr>
        <w:pStyle w:val="Compact"/>
        <w:numPr>
          <w:ilvl w:val="0"/>
          <w:numId w:val="1011"/>
        </w:numPr>
      </w:pPr>
      <w:r>
        <w:t xml:space="preserve">relevant advantages</w:t>
      </w:r>
    </w:p>
    <w:p>
      <w:pPr>
        <w:pStyle w:val="Compact"/>
        <w:numPr>
          <w:ilvl w:val="0"/>
          <w:numId w:val="1011"/>
        </w:numPr>
      </w:pPr>
      <w:r>
        <w:t xml:space="preserve">why it was not selected</w:t>
      </w:r>
    </w:p>
    <w:p>
      <w:r>
        <w:pict>
          <v:rect style="width:0;height:1.5pt" o:hralign="center" o:hrstd="t" o:hr="t"/>
        </w:pict>
      </w:r>
    </w:p>
    <w:bookmarkEnd w:id="29"/>
    <w:bookmarkStart w:id="30" w:name="consequences"/>
    <w:p>
      <w:pPr>
        <w:pStyle w:val="Heading1"/>
      </w:pPr>
      <w:r>
        <w:t xml:space="preserve">Consequences</w:t>
      </w:r>
    </w:p>
    <w:p>
      <w:pPr>
        <w:pStyle w:val="FirstParagraph"/>
      </w:pPr>
      <w:r>
        <w:t xml:space="preserve">Every significant architecture decision has consequences.</w:t>
      </w:r>
    </w:p>
    <w:p>
      <w:pPr>
        <w:pStyle w:val="BodyText"/>
      </w:pPr>
      <w:r>
        <w:t xml:space="preserve">Document both:</w:t>
      </w:r>
    </w:p>
    <w:p>
      <w:pPr>
        <w:pStyle w:val="Compact"/>
        <w:numPr>
          <w:ilvl w:val="0"/>
          <w:numId w:val="1012"/>
        </w:numPr>
      </w:pPr>
      <w:r>
        <w:t xml:space="preserve">positive consequences</w:t>
      </w:r>
    </w:p>
    <w:p>
      <w:pPr>
        <w:pStyle w:val="Compact"/>
        <w:numPr>
          <w:ilvl w:val="0"/>
          <w:numId w:val="1012"/>
        </w:numPr>
      </w:pPr>
      <w:r>
        <w:t xml:space="preserve">negative consequences</w:t>
      </w:r>
    </w:p>
    <w:p>
      <w:pPr>
        <w:pStyle w:val="FirstParagraph"/>
      </w:pPr>
      <w:r>
        <w:t xml:space="preserve">Do not describe an architecture decision as having only benefits.</w:t>
      </w:r>
    </w:p>
    <w:p>
      <w:pPr>
        <w:pStyle w:val="BodyText"/>
      </w:pPr>
      <w:r>
        <w:t xml:space="preserve">Negative consequences may include:</w:t>
      </w:r>
    </w:p>
    <w:p>
      <w:pPr>
        <w:pStyle w:val="Compact"/>
        <w:numPr>
          <w:ilvl w:val="0"/>
          <w:numId w:val="1013"/>
        </w:numPr>
      </w:pPr>
      <w:r>
        <w:t xml:space="preserve">additional translation code</w:t>
      </w:r>
    </w:p>
    <w:p>
      <w:pPr>
        <w:pStyle w:val="Compact"/>
        <w:numPr>
          <w:ilvl w:val="0"/>
          <w:numId w:val="1013"/>
        </w:numPr>
      </w:pPr>
      <w:r>
        <w:t xml:space="preserve">migration effort</w:t>
      </w:r>
    </w:p>
    <w:p>
      <w:pPr>
        <w:pStyle w:val="Compact"/>
        <w:numPr>
          <w:ilvl w:val="0"/>
          <w:numId w:val="1013"/>
        </w:numPr>
      </w:pPr>
      <w:r>
        <w:t xml:space="preserve">stronger ownership rules</w:t>
      </w:r>
    </w:p>
    <w:p>
      <w:pPr>
        <w:pStyle w:val="Compact"/>
        <w:numPr>
          <w:ilvl w:val="0"/>
          <w:numId w:val="1013"/>
        </w:numPr>
      </w:pPr>
      <w:r>
        <w:t xml:space="preserve">more explicit interfaces</w:t>
      </w:r>
    </w:p>
    <w:p>
      <w:pPr>
        <w:pStyle w:val="Compact"/>
        <w:numPr>
          <w:ilvl w:val="0"/>
          <w:numId w:val="1013"/>
        </w:numPr>
      </w:pPr>
      <w:r>
        <w:t xml:space="preserve">reduced generic reuse</w:t>
      </w:r>
    </w:p>
    <w:p>
      <w:pPr>
        <w:pStyle w:val="Compact"/>
        <w:numPr>
          <w:ilvl w:val="0"/>
          <w:numId w:val="1013"/>
        </w:numPr>
      </w:pPr>
      <w:r>
        <w:t xml:space="preserve">operational complexity</w:t>
      </w:r>
    </w:p>
    <w:p>
      <w:pPr>
        <w:pStyle w:val="FirstParagraph"/>
      </w:pPr>
      <w:r>
        <w:t xml:space="preserve">Accepted trade-offs are part of architecture history.</w:t>
      </w:r>
    </w:p>
    <w:p>
      <w:r>
        <w:pict>
          <v:rect style="width:0;height:1.5pt" o:hralign="center" o:hrstd="t" o:hr="t"/>
        </w:pict>
      </w:r>
    </w:p>
    <w:bookmarkEnd w:id="30"/>
    <w:bookmarkStart w:id="31" w:name="trading-critical-decisions"/>
    <w:p>
      <w:pPr>
        <w:pStyle w:val="Heading1"/>
      </w:pPr>
      <w:r>
        <w:t xml:space="preserve">Trading-Critical Decisions</w:t>
      </w:r>
    </w:p>
    <w:p>
      <w:pPr>
        <w:pStyle w:val="FirstParagraph"/>
      </w:pPr>
      <w:r>
        <w:t xml:space="preserve">Architecture decisions affecting trading-critical workflows require additional analysis.</w:t>
      </w:r>
    </w:p>
    <w:p>
      <w:pPr>
        <w:pStyle w:val="BodyText"/>
      </w:pPr>
      <w:r>
        <w:t xml:space="preserve">Relevant areas include:</w:t>
      </w:r>
    </w:p>
    <w:p>
      <w:pPr>
        <w:pStyle w:val="Compact"/>
        <w:numPr>
          <w:ilvl w:val="0"/>
          <w:numId w:val="1014"/>
        </w:numPr>
      </w:pPr>
      <w:r>
        <w:t xml:space="preserve">order submission</w:t>
      </w:r>
    </w:p>
    <w:p>
      <w:pPr>
        <w:pStyle w:val="Compact"/>
        <w:numPr>
          <w:ilvl w:val="0"/>
          <w:numId w:val="1014"/>
        </w:numPr>
      </w:pPr>
      <w:r>
        <w:t xml:space="preserve">order cancellation</w:t>
      </w:r>
    </w:p>
    <w:p>
      <w:pPr>
        <w:pStyle w:val="Compact"/>
        <w:numPr>
          <w:ilvl w:val="0"/>
          <w:numId w:val="1014"/>
        </w:numPr>
      </w:pPr>
      <w:r>
        <w:t xml:space="preserve">broker acknowledgement</w:t>
      </w:r>
    </w:p>
    <w:p>
      <w:pPr>
        <w:pStyle w:val="Compact"/>
        <w:numPr>
          <w:ilvl w:val="0"/>
          <w:numId w:val="1014"/>
        </w:numPr>
      </w:pPr>
      <w:r>
        <w:t xml:space="preserve">execution processing</w:t>
      </w:r>
    </w:p>
    <w:p>
      <w:pPr>
        <w:pStyle w:val="Compact"/>
        <w:numPr>
          <w:ilvl w:val="0"/>
          <w:numId w:val="1014"/>
        </w:numPr>
      </w:pPr>
      <w:r>
        <w:t xml:space="preserve">position lifecycle</w:t>
      </w:r>
    </w:p>
    <w:p>
      <w:pPr>
        <w:pStyle w:val="Compact"/>
        <w:numPr>
          <w:ilvl w:val="0"/>
          <w:numId w:val="1014"/>
        </w:numPr>
      </w:pPr>
      <w:r>
        <w:t xml:space="preserve">reconciliation</w:t>
      </w:r>
    </w:p>
    <w:p>
      <w:pPr>
        <w:pStyle w:val="Compact"/>
        <w:numPr>
          <w:ilvl w:val="0"/>
          <w:numId w:val="1014"/>
        </w:numPr>
      </w:pPr>
      <w:r>
        <w:t xml:space="preserve">PAPER and LIVE separation</w:t>
      </w:r>
    </w:p>
    <w:p>
      <w:pPr>
        <w:pStyle w:val="FirstParagraph"/>
      </w:pPr>
      <w:r>
        <w:t xml:space="preserve">The ADR shall evaluate where relevant:</w:t>
      </w:r>
    </w:p>
    <w:p>
      <w:pPr>
        <w:pStyle w:val="Compact"/>
        <w:numPr>
          <w:ilvl w:val="0"/>
          <w:numId w:val="1015"/>
        </w:numPr>
      </w:pPr>
      <w:r>
        <w:t xml:space="preserve">external side effects</w:t>
      </w:r>
    </w:p>
    <w:p>
      <w:pPr>
        <w:pStyle w:val="Compact"/>
        <w:numPr>
          <w:ilvl w:val="0"/>
          <w:numId w:val="1015"/>
        </w:numPr>
      </w:pPr>
      <w:r>
        <w:t xml:space="preserve">duplicate submission risk</w:t>
      </w:r>
    </w:p>
    <w:p>
      <w:pPr>
        <w:pStyle w:val="Compact"/>
        <w:numPr>
          <w:ilvl w:val="0"/>
          <w:numId w:val="1015"/>
        </w:numPr>
      </w:pPr>
      <w:r>
        <w:t xml:space="preserve">retry behaviour</w:t>
      </w:r>
    </w:p>
    <w:p>
      <w:pPr>
        <w:pStyle w:val="Compact"/>
        <w:numPr>
          <w:ilvl w:val="0"/>
          <w:numId w:val="1015"/>
        </w:numPr>
      </w:pPr>
      <w:r>
        <w:t xml:space="preserve">unknown broker state</w:t>
      </w:r>
    </w:p>
    <w:p>
      <w:pPr>
        <w:pStyle w:val="Compact"/>
        <w:numPr>
          <w:ilvl w:val="0"/>
          <w:numId w:val="1015"/>
        </w:numPr>
      </w:pPr>
      <w:r>
        <w:t xml:space="preserve">disconnect behaviour</w:t>
      </w:r>
    </w:p>
    <w:p>
      <w:pPr>
        <w:pStyle w:val="Compact"/>
        <w:numPr>
          <w:ilvl w:val="0"/>
          <w:numId w:val="1015"/>
        </w:numPr>
      </w:pPr>
      <w:r>
        <w:t xml:space="preserve">reconnect behaviour</w:t>
      </w:r>
    </w:p>
    <w:p>
      <w:pPr>
        <w:pStyle w:val="Compact"/>
        <w:numPr>
          <w:ilvl w:val="0"/>
          <w:numId w:val="1015"/>
        </w:numPr>
      </w:pPr>
      <w:r>
        <w:t xml:space="preserve">persistence impact</w:t>
      </w:r>
    </w:p>
    <w:p>
      <w:pPr>
        <w:pStyle w:val="Compact"/>
        <w:numPr>
          <w:ilvl w:val="0"/>
          <w:numId w:val="1015"/>
        </w:numPr>
      </w:pPr>
      <w:r>
        <w:t xml:space="preserve">reconciliation impact</w:t>
      </w:r>
    </w:p>
    <w:p>
      <w:pPr>
        <w:pStyle w:val="Compact"/>
        <w:numPr>
          <w:ilvl w:val="0"/>
          <w:numId w:val="1015"/>
        </w:numPr>
      </w:pPr>
      <w:r>
        <w:t xml:space="preserve">PAPER impact</w:t>
      </w:r>
    </w:p>
    <w:p>
      <w:pPr>
        <w:pStyle w:val="Compact"/>
        <w:numPr>
          <w:ilvl w:val="0"/>
          <w:numId w:val="1015"/>
        </w:numPr>
      </w:pPr>
      <w:r>
        <w:t xml:space="preserve">LIVE impact</w:t>
      </w:r>
    </w:p>
    <w:p>
      <w:pPr>
        <w:pStyle w:val="FirstParagraph"/>
      </w:pPr>
      <w:r>
        <w:t xml:space="preserve">Do not approve a trading-critical architecture decision based only on code organization.</w:t>
      </w:r>
    </w:p>
    <w:p>
      <w:r>
        <w:pict>
          <v:rect style="width:0;height:1.5pt" o:hralign="center" o:hrstd="t" o:hr="t"/>
        </w:pict>
      </w:r>
    </w:p>
    <w:bookmarkEnd w:id="31"/>
    <w:bookmarkStart w:id="32" w:name="broker-architecture-decisions"/>
    <w:p>
      <w:pPr>
        <w:pStyle w:val="Heading1"/>
      </w:pPr>
      <w:r>
        <w:t xml:space="preserve">Broker Architecture Decisions</w:t>
      </w:r>
    </w:p>
    <w:p>
      <w:pPr>
        <w:pStyle w:val="FirstParagraph"/>
      </w:pPr>
      <w:r>
        <w:t xml:space="preserve">Broker-related ADRs shall preserve the distinction between:</w:t>
      </w:r>
    </w:p>
    <w:p>
      <w:pPr>
        <w:pStyle w:val="SourceCode"/>
      </w:pPr>
      <w:r>
        <w:rPr>
          <w:rStyle w:val="VerbatimChar"/>
        </w:rPr>
        <w:t xml:space="preserve">Application workflow ownership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Broker port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Infrastructure adapter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Provider API</w:t>
      </w:r>
    </w:p>
    <w:p>
      <w:pPr>
        <w:pStyle w:val="FirstParagraph"/>
      </w:pPr>
      <w:r>
        <w:t xml:space="preserve">Broker adapters execute technical provider communication.</w:t>
      </w:r>
    </w:p>
    <w:p>
      <w:pPr>
        <w:pStyle w:val="BodyText"/>
      </w:pPr>
      <w:r>
        <w:t xml:space="preserve">They do not own:</w:t>
      </w:r>
    </w:p>
    <w:p>
      <w:pPr>
        <w:pStyle w:val="Compact"/>
        <w:numPr>
          <w:ilvl w:val="0"/>
          <w:numId w:val="1016"/>
        </w:numPr>
      </w:pPr>
      <w:r>
        <w:t xml:space="preserve">trading decisions</w:t>
      </w:r>
    </w:p>
    <w:p>
      <w:pPr>
        <w:pStyle w:val="Compact"/>
        <w:numPr>
          <w:ilvl w:val="0"/>
          <w:numId w:val="1016"/>
        </w:numPr>
      </w:pPr>
      <w:r>
        <w:t xml:space="preserve">duplicate submission policy</w:t>
      </w:r>
    </w:p>
    <w:p>
      <w:pPr>
        <w:pStyle w:val="Compact"/>
        <w:numPr>
          <w:ilvl w:val="0"/>
          <w:numId w:val="1016"/>
        </w:numPr>
      </w:pPr>
      <w:r>
        <w:t xml:space="preserve">portfolio risk decisions</w:t>
      </w:r>
    </w:p>
    <w:p>
      <w:pPr>
        <w:pStyle w:val="Compact"/>
        <w:numPr>
          <w:ilvl w:val="0"/>
          <w:numId w:val="1016"/>
        </w:numPr>
      </w:pPr>
      <w:r>
        <w:t xml:space="preserve">position close decisions</w:t>
      </w:r>
    </w:p>
    <w:p>
      <w:pPr>
        <w:pStyle w:val="FirstParagraph"/>
      </w:pPr>
      <w:r>
        <w:t xml:space="preserve">A reconnect architecture shall not silently imply order resubmission.</w:t>
      </w:r>
    </w:p>
    <w:p>
      <w:r>
        <w:pict>
          <v:rect style="width:0;height:1.5pt" o:hralign="center" o:hrstd="t" o:hr="t"/>
        </w:pict>
      </w:r>
    </w:p>
    <w:bookmarkEnd w:id="32"/>
    <w:bookmarkStart w:id="33" w:name="market-data-architecture-decisions"/>
    <w:p>
      <w:pPr>
        <w:pStyle w:val="Heading1"/>
      </w:pPr>
      <w:r>
        <w:t xml:space="preserve">Market Data Architecture Decisions</w:t>
      </w:r>
    </w:p>
    <w:p>
      <w:pPr>
        <w:pStyle w:val="FirstParagraph"/>
      </w:pPr>
      <w:r>
        <w:t xml:space="preserve">Market data ADRs shall evaluate:</w:t>
      </w:r>
    </w:p>
    <w:p>
      <w:pPr>
        <w:pStyle w:val="Compact"/>
        <w:numPr>
          <w:ilvl w:val="0"/>
          <w:numId w:val="1017"/>
        </w:numPr>
      </w:pPr>
      <w:r>
        <w:t xml:space="preserve">provider communication</w:t>
      </w:r>
    </w:p>
    <w:p>
      <w:pPr>
        <w:pStyle w:val="Compact"/>
        <w:numPr>
          <w:ilvl w:val="0"/>
          <w:numId w:val="1017"/>
        </w:numPr>
      </w:pPr>
      <w:r>
        <w:t xml:space="preserve">source timestamps</w:t>
      </w:r>
    </w:p>
    <w:p>
      <w:pPr>
        <w:pStyle w:val="Compact"/>
        <w:numPr>
          <w:ilvl w:val="0"/>
          <w:numId w:val="1017"/>
        </w:numPr>
      </w:pPr>
      <w:r>
        <w:t xml:space="preserve">freshness semantics</w:t>
      </w:r>
    </w:p>
    <w:p>
      <w:pPr>
        <w:pStyle w:val="Compact"/>
        <w:numPr>
          <w:ilvl w:val="0"/>
          <w:numId w:val="1017"/>
        </w:numPr>
      </w:pPr>
      <w:r>
        <w:t xml:space="preserve">unavailable data</w:t>
      </w:r>
    </w:p>
    <w:p>
      <w:pPr>
        <w:pStyle w:val="Compact"/>
        <w:numPr>
          <w:ilvl w:val="0"/>
          <w:numId w:val="1017"/>
        </w:numPr>
      </w:pPr>
      <w:r>
        <w:t xml:space="preserve">subscription ownership</w:t>
      </w:r>
    </w:p>
    <w:p>
      <w:pPr>
        <w:pStyle w:val="Compact"/>
        <w:numPr>
          <w:ilvl w:val="0"/>
          <w:numId w:val="1017"/>
        </w:numPr>
      </w:pPr>
      <w:r>
        <w:t xml:space="preserve">subscription lifecycle</w:t>
      </w:r>
    </w:p>
    <w:p>
      <w:pPr>
        <w:pStyle w:val="FirstParagraph"/>
      </w:pPr>
      <w:r>
        <w:t xml:space="preserve">Market data architecture shall remain distinguishable from broker execution architecture.</w:t>
      </w:r>
    </w:p>
    <w:p>
      <w:pPr>
        <w:pStyle w:val="BodyText"/>
      </w:pPr>
      <w:r>
        <w:t xml:space="preserve">A shared provider does not automatically mean a shared lifecycle.</w:t>
      </w:r>
    </w:p>
    <w:p>
      <w:r>
        <w:pict>
          <v:rect style="width:0;height:1.5pt" o:hralign="center" o:hrstd="t" o:hr="t"/>
        </w:pict>
      </w:r>
    </w:p>
    <w:bookmarkEnd w:id="33"/>
    <w:bookmarkStart w:id="34" w:name="persistence-architecture-decisions"/>
    <w:p>
      <w:pPr>
        <w:pStyle w:val="Heading1"/>
      </w:pPr>
      <w:r>
        <w:t xml:space="preserve">Persistence Architecture Decisions</w:t>
      </w:r>
    </w:p>
    <w:p>
      <w:pPr>
        <w:pStyle w:val="FirstParagraph"/>
      </w:pPr>
      <w:r>
        <w:t xml:space="preserve">Persistence ADRs shall evaluate:</w:t>
      </w:r>
    </w:p>
    <w:p>
      <w:pPr>
        <w:pStyle w:val="Compact"/>
        <w:numPr>
          <w:ilvl w:val="0"/>
          <w:numId w:val="1018"/>
        </w:numPr>
      </w:pPr>
      <w:r>
        <w:t xml:space="preserve">Domain identity</w:t>
      </w:r>
    </w:p>
    <w:p>
      <w:pPr>
        <w:pStyle w:val="Compact"/>
        <w:numPr>
          <w:ilvl w:val="0"/>
          <w:numId w:val="1018"/>
        </w:numPr>
      </w:pPr>
      <w:r>
        <w:t xml:space="preserve">repository contracts</w:t>
      </w:r>
    </w:p>
    <w:p>
      <w:pPr>
        <w:pStyle w:val="Compact"/>
        <w:numPr>
          <w:ilvl w:val="0"/>
          <w:numId w:val="1018"/>
        </w:numPr>
      </w:pPr>
      <w:r>
        <w:t xml:space="preserve">transaction ownership</w:t>
      </w:r>
    </w:p>
    <w:p>
      <w:pPr>
        <w:pStyle w:val="Compact"/>
        <w:numPr>
          <w:ilvl w:val="0"/>
          <w:numId w:val="1018"/>
        </w:numPr>
      </w:pPr>
      <w:r>
        <w:t xml:space="preserve">persistence model translation</w:t>
      </w:r>
    </w:p>
    <w:p>
      <w:pPr>
        <w:pStyle w:val="Compact"/>
        <w:numPr>
          <w:ilvl w:val="0"/>
          <w:numId w:val="1018"/>
        </w:numPr>
      </w:pPr>
      <w:r>
        <w:t xml:space="preserve">migration impact</w:t>
      </w:r>
    </w:p>
    <w:p>
      <w:pPr>
        <w:pStyle w:val="Compact"/>
        <w:numPr>
          <w:ilvl w:val="0"/>
          <w:numId w:val="1018"/>
        </w:numPr>
      </w:pPr>
      <w:r>
        <w:t xml:space="preserve">reconciliation impact</w:t>
      </w:r>
    </w:p>
    <w:p>
      <w:pPr>
        <w:pStyle w:val="FirstParagraph"/>
      </w:pPr>
      <w:r>
        <w:t xml:space="preserve">Persistence models shall remain Infrastructure concerns.</w:t>
      </w:r>
    </w:p>
    <w:p>
      <w:pPr>
        <w:pStyle w:val="BodyText"/>
      </w:pPr>
      <w:r>
        <w:t xml:space="preserve">SQLAlchemy models shall not become Domain Entities.</w:t>
      </w:r>
    </w:p>
    <w:p>
      <w:pPr>
        <w:pStyle w:val="BodyText"/>
      </w:pPr>
      <w:r>
        <w:t xml:space="preserve">Architecture decisions shall not silently rewrite trading history.</w:t>
      </w:r>
    </w:p>
    <w:p>
      <w:r>
        <w:pict>
          <v:rect style="width:0;height:1.5pt" o:hralign="center" o:hrstd="t" o:hr="t"/>
        </w:pict>
      </w:r>
    </w:p>
    <w:bookmarkEnd w:id="34"/>
    <w:bookmarkStart w:id="35" w:name="runtime-architecture-decisions"/>
    <w:p>
      <w:pPr>
        <w:pStyle w:val="Heading1"/>
      </w:pPr>
      <w:r>
        <w:t xml:space="preserve">Runtime Architecture Decisions</w:t>
      </w:r>
    </w:p>
    <w:p>
      <w:pPr>
        <w:pStyle w:val="FirstParagraph"/>
      </w:pPr>
      <w:r>
        <w:t xml:space="preserve">Runtime ADRs shall evaluate:</w:t>
      </w:r>
    </w:p>
    <w:p>
      <w:pPr>
        <w:pStyle w:val="Compact"/>
        <w:numPr>
          <w:ilvl w:val="0"/>
          <w:numId w:val="1019"/>
        </w:numPr>
      </w:pPr>
      <w:r>
        <w:t xml:space="preserve">startup order</w:t>
      </w:r>
    </w:p>
    <w:p>
      <w:pPr>
        <w:pStyle w:val="Compact"/>
        <w:numPr>
          <w:ilvl w:val="0"/>
          <w:numId w:val="1019"/>
        </w:numPr>
      </w:pPr>
      <w:r>
        <w:t xml:space="preserve">shutdown order</w:t>
      </w:r>
    </w:p>
    <w:p>
      <w:pPr>
        <w:pStyle w:val="Compact"/>
        <w:numPr>
          <w:ilvl w:val="0"/>
          <w:numId w:val="1019"/>
        </w:numPr>
      </w:pPr>
      <w:r>
        <w:t xml:space="preserve">task ownership</w:t>
      </w:r>
    </w:p>
    <w:p>
      <w:pPr>
        <w:pStyle w:val="Compact"/>
        <w:numPr>
          <w:ilvl w:val="0"/>
          <w:numId w:val="1019"/>
        </w:numPr>
      </w:pPr>
      <w:r>
        <w:t xml:space="preserve">cancellation</w:t>
      </w:r>
    </w:p>
    <w:p>
      <w:pPr>
        <w:pStyle w:val="Compact"/>
        <w:numPr>
          <w:ilvl w:val="0"/>
          <w:numId w:val="1019"/>
        </w:numPr>
      </w:pPr>
      <w:r>
        <w:t xml:space="preserve">timeout behaviour</w:t>
      </w:r>
    </w:p>
    <w:p>
      <w:pPr>
        <w:pStyle w:val="Compact"/>
        <w:numPr>
          <w:ilvl w:val="0"/>
          <w:numId w:val="1019"/>
        </w:numPr>
      </w:pPr>
      <w:r>
        <w:t xml:space="preserve">degraded state</w:t>
      </w:r>
    </w:p>
    <w:p>
      <w:pPr>
        <w:pStyle w:val="Compact"/>
        <w:numPr>
          <w:ilvl w:val="0"/>
          <w:numId w:val="1019"/>
        </w:numPr>
      </w:pPr>
      <w:r>
        <w:t xml:space="preserve">broker lifecycle</w:t>
      </w:r>
    </w:p>
    <w:p>
      <w:pPr>
        <w:pStyle w:val="Compact"/>
        <w:numPr>
          <w:ilvl w:val="0"/>
          <w:numId w:val="1019"/>
        </w:numPr>
      </w:pPr>
      <w:r>
        <w:t xml:space="preserve">market data lifecycle</w:t>
      </w:r>
    </w:p>
    <w:p>
      <w:pPr>
        <w:pStyle w:val="Compact"/>
        <w:numPr>
          <w:ilvl w:val="0"/>
          <w:numId w:val="1019"/>
        </w:numPr>
      </w:pPr>
      <w:r>
        <w:t xml:space="preserve">AsyncIO event loop impact</w:t>
      </w:r>
    </w:p>
    <w:p>
      <w:pPr>
        <w:pStyle w:val="Compact"/>
        <w:numPr>
          <w:ilvl w:val="0"/>
          <w:numId w:val="1019"/>
        </w:numPr>
      </w:pPr>
      <w:r>
        <w:t xml:space="preserve">UI thread impact</w:t>
      </w:r>
    </w:p>
    <w:p>
      <w:pPr>
        <w:pStyle w:val="FirstParagraph"/>
      </w:pPr>
      <w:r>
        <w:t xml:space="preserve">Long-running tasks require explicit lifecycle ownership.</w:t>
      </w:r>
    </w:p>
    <w:p>
      <w:pPr>
        <w:pStyle w:val="BodyText"/>
      </w:pPr>
      <w:r>
        <w:t xml:space="preserve">Do not approve unmanaged background execution as architecture solely because it is technically simple.</w:t>
      </w:r>
    </w:p>
    <w:p>
      <w:r>
        <w:pict>
          <v:rect style="width:0;height:1.5pt" o:hralign="center" o:hrstd="t" o:hr="t"/>
        </w:pict>
      </w:r>
    </w:p>
    <w:bookmarkEnd w:id="35"/>
    <w:bookmarkStart w:id="36" w:name="architecture-decision-process"/>
    <w:p>
      <w:pPr>
        <w:pStyle w:val="Heading1"/>
      </w:pPr>
      <w:r>
        <w:t xml:space="preserve">Architecture Decision Process</w:t>
      </w:r>
    </w:p>
    <w:p>
      <w:pPr>
        <w:pStyle w:val="FirstParagraph"/>
      </w:pPr>
      <w:r>
        <w:t xml:space="preserve">Before creating an ADR:</w:t>
      </w:r>
    </w:p>
    <w:p>
      <w:pPr>
        <w:pStyle w:val="Compact"/>
        <w:numPr>
          <w:ilvl w:val="0"/>
          <w:numId w:val="1020"/>
        </w:numPr>
      </w:pPr>
      <w:r>
        <w:t xml:space="preserve">Identify the concrete requirement.</w:t>
      </w:r>
    </w:p>
    <w:p>
      <w:pPr>
        <w:pStyle w:val="Compact"/>
        <w:numPr>
          <w:ilvl w:val="0"/>
          <w:numId w:val="1020"/>
        </w:numPr>
      </w:pPr>
      <w:r>
        <w:t xml:space="preserve">Inspect the current implementation.</w:t>
      </w:r>
    </w:p>
    <w:p>
      <w:pPr>
        <w:pStyle w:val="Compact"/>
        <w:numPr>
          <w:ilvl w:val="0"/>
          <w:numId w:val="1020"/>
        </w:numPr>
      </w:pPr>
      <w:r>
        <w:t xml:space="preserve">Review current architecture documentation.</w:t>
      </w:r>
    </w:p>
    <w:p>
      <w:pPr>
        <w:pStyle w:val="Compact"/>
        <w:numPr>
          <w:ilvl w:val="0"/>
          <w:numId w:val="1020"/>
        </w:numPr>
      </w:pPr>
      <w:r>
        <w:t xml:space="preserve">Identify the owning capability.</w:t>
      </w:r>
    </w:p>
    <w:p>
      <w:pPr>
        <w:pStyle w:val="Compact"/>
        <w:numPr>
          <w:ilvl w:val="0"/>
          <w:numId w:val="1020"/>
        </w:numPr>
      </w:pPr>
      <w:r>
        <w:t xml:space="preserve">Identify affected architecture boundaries.</w:t>
      </w:r>
    </w:p>
    <w:p>
      <w:pPr>
        <w:pStyle w:val="Compact"/>
        <w:numPr>
          <w:ilvl w:val="0"/>
          <w:numId w:val="1020"/>
        </w:numPr>
      </w:pPr>
      <w:r>
        <w:t xml:space="preserve">Identify real consumers.</w:t>
      </w:r>
    </w:p>
    <w:p>
      <w:pPr>
        <w:pStyle w:val="Compact"/>
        <w:numPr>
          <w:ilvl w:val="0"/>
          <w:numId w:val="1020"/>
        </w:numPr>
      </w:pPr>
      <w:r>
        <w:t xml:space="preserve">Evaluate materially different alternatives.</w:t>
      </w:r>
    </w:p>
    <w:p>
      <w:pPr>
        <w:pStyle w:val="Compact"/>
        <w:numPr>
          <w:ilvl w:val="0"/>
          <w:numId w:val="1020"/>
        </w:numPr>
      </w:pPr>
      <w:r>
        <w:t xml:space="preserve">Evaluate migration impact.</w:t>
      </w:r>
    </w:p>
    <w:p>
      <w:pPr>
        <w:pStyle w:val="Compact"/>
        <w:numPr>
          <w:ilvl w:val="0"/>
          <w:numId w:val="1020"/>
        </w:numPr>
      </w:pPr>
      <w:r>
        <w:t xml:space="preserve">Evaluate trading safety where relevant.</w:t>
      </w:r>
    </w:p>
    <w:p>
      <w:pPr>
        <w:pStyle w:val="Compact"/>
        <w:numPr>
          <w:ilvl w:val="0"/>
          <w:numId w:val="1020"/>
        </w:numPr>
      </w:pPr>
      <w:r>
        <w:t xml:space="preserve">Draft the ADR as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.</w:t>
      </w:r>
    </w:p>
    <w:p>
      <w:pPr>
        <w:pStyle w:val="FirstParagraph"/>
      </w:pPr>
      <w:r>
        <w:t xml:space="preserve">Before accepting an ADR:</w:t>
      </w:r>
    </w:p>
    <w:p>
      <w:pPr>
        <w:pStyle w:val="Compact"/>
        <w:numPr>
          <w:ilvl w:val="0"/>
          <w:numId w:val="1021"/>
        </w:numPr>
      </w:pPr>
      <w:r>
        <w:t xml:space="preserve">Review the decision.</w:t>
      </w:r>
    </w:p>
    <w:p>
      <w:pPr>
        <w:pStyle w:val="Compact"/>
        <w:numPr>
          <w:ilvl w:val="0"/>
          <w:numId w:val="1021"/>
        </w:numPr>
      </w:pPr>
      <w:r>
        <w:t xml:space="preserve">Review alternatives.</w:t>
      </w:r>
    </w:p>
    <w:p>
      <w:pPr>
        <w:pStyle w:val="Compact"/>
        <w:numPr>
          <w:ilvl w:val="0"/>
          <w:numId w:val="1021"/>
        </w:numPr>
      </w:pPr>
      <w:r>
        <w:t xml:space="preserve">Review consequences.</w:t>
      </w:r>
    </w:p>
    <w:p>
      <w:pPr>
        <w:pStyle w:val="Compact"/>
        <w:numPr>
          <w:ilvl w:val="0"/>
          <w:numId w:val="1021"/>
        </w:numPr>
      </w:pPr>
      <w:r>
        <w:t xml:space="preserve">Review implementation impact.</w:t>
      </w:r>
    </w:p>
    <w:p>
      <w:pPr>
        <w:pStyle w:val="Compact"/>
        <w:numPr>
          <w:ilvl w:val="0"/>
          <w:numId w:val="1021"/>
        </w:numPr>
      </w:pPr>
      <w:r>
        <w:t xml:space="preserve">Review migration.</w:t>
      </w:r>
    </w:p>
    <w:p>
      <w:pPr>
        <w:pStyle w:val="Compact"/>
        <w:numPr>
          <w:ilvl w:val="0"/>
          <w:numId w:val="1021"/>
        </w:numPr>
      </w:pPr>
      <w:r>
        <w:t xml:space="preserve">Review validation.</w:t>
      </w:r>
    </w:p>
    <w:p>
      <w:pPr>
        <w:pStyle w:val="Compact"/>
        <w:numPr>
          <w:ilvl w:val="0"/>
          <w:numId w:val="1021"/>
        </w:numPr>
      </w:pPr>
      <w:r>
        <w:t xml:space="preserve">Update status to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Synchronize current architecture documentation.</w:t>
      </w:r>
    </w:p>
    <w:p>
      <w:r>
        <w:pict>
          <v:rect style="width:0;height:1.5pt" o:hralign="center" o:hrstd="t" o:hr="t"/>
        </w:pict>
      </w:r>
    </w:p>
    <w:bookmarkEnd w:id="36"/>
    <w:bookmarkStart w:id="37" w:name="adr-review"/>
    <w:p>
      <w:pPr>
        <w:pStyle w:val="Heading1"/>
      </w:pPr>
      <w:r>
        <w:t xml:space="preserve">ADR Review</w:t>
      </w:r>
    </w:p>
    <w:p>
      <w:pPr>
        <w:pStyle w:val="FirstParagraph"/>
      </w:pPr>
      <w:r>
        <w:t xml:space="preserve">ADR review shall verify:</w:t>
      </w:r>
    </w:p>
    <w:p>
      <w:pPr>
        <w:pStyle w:val="Compact"/>
        <w:numPr>
          <w:ilvl w:val="0"/>
          <w:numId w:val="1022"/>
        </w:numPr>
      </w:pPr>
      <w:r>
        <w:t xml:space="preserve">concrete requirement identified</w:t>
      </w:r>
    </w:p>
    <w:p>
      <w:pPr>
        <w:pStyle w:val="Compact"/>
        <w:numPr>
          <w:ilvl w:val="0"/>
          <w:numId w:val="1022"/>
        </w:numPr>
      </w:pPr>
      <w:r>
        <w:t xml:space="preserve">decision is architecture-significant</w:t>
      </w:r>
    </w:p>
    <w:p>
      <w:pPr>
        <w:pStyle w:val="Compact"/>
        <w:numPr>
          <w:ilvl w:val="0"/>
          <w:numId w:val="1022"/>
        </w:numPr>
      </w:pPr>
      <w:r>
        <w:t xml:space="preserve">owning capability identified</w:t>
      </w:r>
    </w:p>
    <w:p>
      <w:pPr>
        <w:pStyle w:val="Compact"/>
        <w:numPr>
          <w:ilvl w:val="0"/>
          <w:numId w:val="1022"/>
        </w:numPr>
      </w:pPr>
      <w:r>
        <w:t xml:space="preserve">current architecture inspected</w:t>
      </w:r>
    </w:p>
    <w:p>
      <w:pPr>
        <w:pStyle w:val="Compact"/>
        <w:numPr>
          <w:ilvl w:val="0"/>
          <w:numId w:val="1022"/>
        </w:numPr>
      </w:pPr>
      <w:r>
        <w:t xml:space="preserve">real consumers identified</w:t>
      </w:r>
    </w:p>
    <w:p>
      <w:pPr>
        <w:pStyle w:val="Compact"/>
        <w:numPr>
          <w:ilvl w:val="0"/>
          <w:numId w:val="1022"/>
        </w:numPr>
      </w:pPr>
      <w:r>
        <w:t xml:space="preserve">decision is explicit</w:t>
      </w:r>
    </w:p>
    <w:p>
      <w:pPr>
        <w:pStyle w:val="Compact"/>
        <w:numPr>
          <w:ilvl w:val="0"/>
          <w:numId w:val="1022"/>
        </w:numPr>
      </w:pPr>
      <w:r>
        <w:t xml:space="preserve">rationale is project-specific</w:t>
      </w:r>
    </w:p>
    <w:p>
      <w:pPr>
        <w:pStyle w:val="Compact"/>
        <w:numPr>
          <w:ilvl w:val="0"/>
          <w:numId w:val="1022"/>
        </w:numPr>
      </w:pPr>
      <w:r>
        <w:t xml:space="preserve">realistic alternatives evaluated</w:t>
      </w:r>
    </w:p>
    <w:p>
      <w:pPr>
        <w:pStyle w:val="Compact"/>
        <w:numPr>
          <w:ilvl w:val="0"/>
          <w:numId w:val="1022"/>
        </w:numPr>
      </w:pPr>
      <w:r>
        <w:t xml:space="preserve">positive consequences documented</w:t>
      </w:r>
    </w:p>
    <w:p>
      <w:pPr>
        <w:pStyle w:val="Compact"/>
        <w:numPr>
          <w:ilvl w:val="0"/>
          <w:numId w:val="1022"/>
        </w:numPr>
      </w:pPr>
      <w:r>
        <w:t xml:space="preserve">negative consequences documented</w:t>
      </w:r>
    </w:p>
    <w:p>
      <w:pPr>
        <w:pStyle w:val="Compact"/>
        <w:numPr>
          <w:ilvl w:val="0"/>
          <w:numId w:val="1022"/>
        </w:numPr>
      </w:pPr>
      <w:r>
        <w:t xml:space="preserve">migration impact evaluated</w:t>
      </w:r>
    </w:p>
    <w:p>
      <w:pPr>
        <w:pStyle w:val="Compact"/>
        <w:numPr>
          <w:ilvl w:val="0"/>
          <w:numId w:val="1022"/>
        </w:numPr>
      </w:pPr>
      <w:r>
        <w:t xml:space="preserve">validation defined</w:t>
      </w:r>
    </w:p>
    <w:p>
      <w:pPr>
        <w:pStyle w:val="Compact"/>
        <w:numPr>
          <w:ilvl w:val="0"/>
          <w:numId w:val="1022"/>
        </w:numPr>
      </w:pPr>
      <w:r>
        <w:t xml:space="preserve">trading safety evaluated where relevant</w:t>
      </w:r>
    </w:p>
    <w:p>
      <w:pPr>
        <w:pStyle w:val="Compact"/>
        <w:numPr>
          <w:ilvl w:val="0"/>
          <w:numId w:val="1022"/>
        </w:numPr>
      </w:pPr>
      <w:r>
        <w:t xml:space="preserve">current architecture documentation synchronized</w:t>
      </w:r>
    </w:p>
    <w:p>
      <w:pPr>
        <w:pStyle w:val="FirstParagraph"/>
      </w:pPr>
      <w:r>
        <w:t xml:space="preserve">Do not accept an ADR solely because the proposed implementation already exists.</w:t>
      </w:r>
    </w:p>
    <w:p>
      <w:r>
        <w:pict>
          <v:rect style="width:0;height:1.5pt" o:hralign="center" o:hrstd="t" o:hr="t"/>
        </w:pict>
      </w:r>
    </w:p>
    <w:bookmarkEnd w:id="37"/>
    <w:bookmarkStart w:id="38" w:name="adr-lifecycle"/>
    <w:p>
      <w:pPr>
        <w:pStyle w:val="Heading1"/>
      </w:pPr>
      <w:r>
        <w:t xml:space="preserve">ADR Lifecycle</w:t>
      </w:r>
    </w:p>
    <w:p>
      <w:pPr>
        <w:pStyle w:val="FirstParagraph"/>
      </w:pPr>
      <w:r>
        <w:t xml:space="preserve">Typical lifecycle:</w:t>
      </w:r>
    </w:p>
    <w:p>
      <w:pPr>
        <w:pStyle w:val="SourceCode"/>
      </w:pPr>
      <w:r>
        <w:rPr>
          <w:rStyle w:val="VerbatimChar"/>
        </w:rPr>
        <w:t xml:space="preserve">Proposed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Accepted</w:t>
      </w:r>
    </w:p>
    <w:p>
      <w:pPr>
        <w:pStyle w:val="FirstParagraph"/>
      </w:pPr>
      <w:r>
        <w:t xml:space="preserve">A later decision may produce:</w:t>
      </w:r>
    </w:p>
    <w:p>
      <w:pPr>
        <w:pStyle w:val="SourceCode"/>
      </w:pPr>
      <w:r>
        <w:rPr>
          <w:rStyle w:val="VerbatimChar"/>
        </w:rPr>
        <w:t xml:space="preserve">Accepted ADR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New ADR Accepted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Previous ADR Superseded</w:t>
      </w:r>
    </w:p>
    <w:p>
      <w:pPr>
        <w:pStyle w:val="FirstParagraph"/>
      </w:pPr>
      <w:r>
        <w:t xml:space="preserve">or:</w:t>
      </w:r>
    </w:p>
    <w:p>
      <w:pPr>
        <w:pStyle w:val="SourceCode"/>
      </w:pPr>
      <w:r>
        <w:rPr>
          <w:rStyle w:val="VerbatimChar"/>
        </w:rPr>
        <w:t xml:space="preserve">Accepted ADR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Architecture phased out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Deprecated</w:t>
      </w:r>
    </w:p>
    <w:p>
      <w:pPr>
        <w:pStyle w:val="FirstParagraph"/>
      </w:pPr>
      <w:r>
        <w:t xml:space="preserve">Rejected proposals may remain:</w:t>
      </w:r>
    </w:p>
    <w:p>
      <w:pPr>
        <w:pStyle w:val="SourceCode"/>
      </w:pPr>
      <w:r>
        <w:rPr>
          <w:rStyle w:val="VerbatimChar"/>
        </w:rPr>
        <w:t xml:space="preserve">Proposed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Rejected</w:t>
      </w:r>
    </w:p>
    <w:p>
      <w:pPr>
        <w:pStyle w:val="FirstParagraph"/>
      </w:pPr>
      <w:r>
        <w:t xml:space="preserve">Status transitions shall remain explicit.</w:t>
      </w:r>
    </w:p>
    <w:p>
      <w:r>
        <w:pict>
          <v:rect style="width:0;height:1.5pt" o:hralign="center" o:hrstd="t" o:hr="t"/>
        </w:pict>
      </w:r>
    </w:p>
    <w:bookmarkEnd w:id="38"/>
    <w:bookmarkStart w:id="39" w:name="superseding-an-adr"/>
    <w:p>
      <w:pPr>
        <w:pStyle w:val="Heading1"/>
      </w:pPr>
      <w:r>
        <w:t xml:space="preserve">Superseding an ADR</w:t>
      </w:r>
    </w:p>
    <w:p>
      <w:pPr>
        <w:pStyle w:val="FirstParagraph"/>
      </w:pPr>
      <w:r>
        <w:t xml:space="preserve">When replacing an accepted ADR:</w:t>
      </w:r>
    </w:p>
    <w:p>
      <w:pPr>
        <w:pStyle w:val="Compact"/>
        <w:numPr>
          <w:ilvl w:val="0"/>
          <w:numId w:val="1023"/>
        </w:numPr>
      </w:pPr>
      <w:r>
        <w:t xml:space="preserve">Create a new ADR.</w:t>
      </w:r>
    </w:p>
    <w:p>
      <w:pPr>
        <w:pStyle w:val="Compact"/>
        <w:numPr>
          <w:ilvl w:val="0"/>
          <w:numId w:val="1023"/>
        </w:numPr>
      </w:pPr>
      <w:r>
        <w:t xml:space="preserve">Explain the new context.</w:t>
      </w:r>
    </w:p>
    <w:p>
      <w:pPr>
        <w:pStyle w:val="Compact"/>
        <w:numPr>
          <w:ilvl w:val="0"/>
          <w:numId w:val="1023"/>
        </w:numPr>
      </w:pPr>
      <w:r>
        <w:t xml:space="preserve">Reference the previous ADR.</w:t>
      </w:r>
    </w:p>
    <w:p>
      <w:pPr>
        <w:pStyle w:val="Compact"/>
        <w:numPr>
          <w:ilvl w:val="0"/>
          <w:numId w:val="1023"/>
        </w:numPr>
      </w:pPr>
      <w:r>
        <w:t xml:space="preserve">Accept the new ADR.</w:t>
      </w:r>
    </w:p>
    <w:p>
      <w:pPr>
        <w:pStyle w:val="Compact"/>
        <w:numPr>
          <w:ilvl w:val="0"/>
          <w:numId w:val="1023"/>
        </w:numPr>
      </w:pPr>
      <w:r>
        <w:t xml:space="preserve">Change the previous ADR status to</w:t>
      </w:r>
      <w:r>
        <w:t xml:space="preserve"> </w:t>
      </w:r>
      <w:r>
        <w:rPr>
          <w:rStyle w:val="VerbatimChar"/>
        </w:rPr>
        <w:t xml:space="preserve">Superseded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Superseded by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Update current architecture documentation.</w:t>
      </w:r>
    </w:p>
    <w:p>
      <w:pPr>
        <w:pStyle w:val="Compact"/>
        <w:numPr>
          <w:ilvl w:val="0"/>
          <w:numId w:val="1023"/>
        </w:numPr>
      </w:pPr>
      <w:r>
        <w:t xml:space="preserve">Update related technical documentation.</w:t>
      </w:r>
    </w:p>
    <w:p>
      <w:pPr>
        <w:pStyle w:val="Compact"/>
        <w:numPr>
          <w:ilvl w:val="0"/>
          <w:numId w:val="1023"/>
        </w:numPr>
      </w:pPr>
      <w:r>
        <w:t xml:space="preserve">Implement migration where required.</w:t>
      </w:r>
    </w:p>
    <w:p>
      <w:pPr>
        <w:pStyle w:val="FirstParagraph"/>
      </w:pPr>
      <w:r>
        <w:t xml:space="preserve">Do not rewrite the previous ADR decision to match the new architecture.</w:t>
      </w:r>
    </w:p>
    <w:p>
      <w:r>
        <w:pict>
          <v:rect style="width:0;height:1.5pt" o:hralign="center" o:hrstd="t" o:hr="t"/>
        </w:pict>
      </w:r>
    </w:p>
    <w:bookmarkEnd w:id="39"/>
    <w:bookmarkStart w:id="40" w:name="adr-references"/>
    <w:p>
      <w:pPr>
        <w:pStyle w:val="Heading1"/>
      </w:pPr>
      <w:r>
        <w:t xml:space="preserve">ADR References</w:t>
      </w:r>
    </w:p>
    <w:p>
      <w:pPr>
        <w:pStyle w:val="FirstParagraph"/>
      </w:pPr>
      <w:r>
        <w:t xml:space="preserve">Use explicit ADR identifiers.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ADR-0005</w:t>
      </w:r>
    </w:p>
    <w:p>
      <w:pPr>
        <w:pStyle w:val="FirstParagraph"/>
      </w:pPr>
      <w:r>
        <w:t xml:space="preserve">When one ADR supersedes another, reference both identifier and decision where useful.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Supersedes ADR-0002: Use Shared Provider Lifecycle</w:t>
      </w:r>
    </w:p>
    <w:p>
      <w:pPr>
        <w:pStyle w:val="FirstParagraph"/>
      </w:pPr>
      <w:r>
        <w:t xml:space="preserve">Avoid references such as:</w:t>
      </w:r>
    </w:p>
    <w:p>
      <w:pPr>
        <w:pStyle w:val="SourceCode"/>
      </w:pPr>
      <w:r>
        <w:rPr>
          <w:rStyle w:val="VerbatimChar"/>
        </w:rPr>
        <w:t xml:space="preserve">the old ADR</w:t>
      </w:r>
      <w:r>
        <w:br/>
      </w:r>
      <w:r>
        <w:rPr>
          <w:rStyle w:val="VerbatimChar"/>
        </w:rPr>
        <w:t xml:space="preserve">previous decision</w:t>
      </w:r>
    </w:p>
    <w:p>
      <w:pPr>
        <w:pStyle w:val="FirstParagraph"/>
      </w:pPr>
      <w:r>
        <w:t xml:space="preserve">Architecture history shall remain traceable.</w:t>
      </w:r>
    </w:p>
    <w:p>
      <w:r>
        <w:pict>
          <v:rect style="width:0;height:1.5pt" o:hralign="center" o:hrstd="t" o:hr="t"/>
        </w:pict>
      </w:r>
    </w:p>
    <w:bookmarkEnd w:id="40"/>
    <w:bookmarkStart w:id="41" w:name="documentation-generation"/>
    <w:p>
      <w:pPr>
        <w:pStyle w:val="Heading1"/>
      </w:pPr>
      <w:r>
        <w:t xml:space="preserve">Documentation Generation</w:t>
      </w:r>
    </w:p>
    <w:p>
      <w:pPr>
        <w:pStyle w:val="FirstParagraph"/>
      </w:pPr>
      <w:r>
        <w:t xml:space="preserve">ADR Markdown files are part of the documentation source.</w:t>
      </w:r>
    </w:p>
    <w:p>
      <w:pPr>
        <w:pStyle w:val="BodyText"/>
      </w:pPr>
      <w:r>
        <w:t xml:space="preserve">When ADR documentation changes run:</w:t>
      </w:r>
    </w:p>
    <w:p>
      <w:pPr>
        <w:pStyle w:val="SourceCode"/>
      </w:pPr>
      <w:r>
        <w:rPr>
          <w:rStyle w:val="VerbatimChar"/>
        </w:rPr>
        <w:t xml:space="preserve">python scripts/generate_docs.py</w:t>
      </w:r>
    </w:p>
    <w:p>
      <w:pPr>
        <w:pStyle w:val="FirstParagraph"/>
      </w:pPr>
      <w:r>
        <w:t xml:space="preserve">The command shall complete successfully.</w:t>
      </w:r>
    </w:p>
    <w:p>
      <w:pPr>
        <w:pStyle w:val="BodyText"/>
      </w:pPr>
      <w:r>
        <w:t xml:space="preserve">Generated DOCX and PDF files are derived artifacts.</w:t>
      </w:r>
    </w:p>
    <w:p>
      <w:pPr>
        <w:pStyle w:val="BodyText"/>
      </w:pPr>
      <w:r>
        <w:t xml:space="preserve">Do not manually edit generated ADR documentation.</w:t>
      </w:r>
    </w:p>
    <w:p>
      <w:r>
        <w:pict>
          <v:rect style="width:0;height:1.5pt" o:hralign="center" o:hrstd="t" o:hr="t"/>
        </w:pict>
      </w:r>
    </w:p>
    <w:bookmarkEnd w:id="41"/>
    <w:bookmarkStart w:id="42" w:name="adr-repository-rules"/>
    <w:p>
      <w:pPr>
        <w:pStyle w:val="Heading1"/>
      </w:pPr>
      <w:r>
        <w:t xml:space="preserve">ADR Repository Rules</w:t>
      </w:r>
    </w:p>
    <w:p>
      <w:pPr>
        <w:pStyle w:val="FirstParagraph"/>
      </w:pPr>
      <w:r>
        <w:t xml:space="preserve">Before committing an ADR verify:</w:t>
      </w:r>
    </w:p>
    <w:p>
      <w:pPr>
        <w:pStyle w:val="Compact"/>
        <w:numPr>
          <w:ilvl w:val="0"/>
          <w:numId w:val="1024"/>
        </w:numPr>
      </w:pPr>
      <w:r>
        <w:t xml:space="preserve">filename follows numbering convention</w:t>
      </w:r>
    </w:p>
    <w:p>
      <w:pPr>
        <w:pStyle w:val="Compact"/>
        <w:numPr>
          <w:ilvl w:val="0"/>
          <w:numId w:val="1024"/>
        </w:numPr>
      </w:pPr>
      <w:r>
        <w:t xml:space="preserve">ADR identifier matches filename</w:t>
      </w:r>
    </w:p>
    <w:p>
      <w:pPr>
        <w:pStyle w:val="Compact"/>
        <w:numPr>
          <w:ilvl w:val="0"/>
          <w:numId w:val="1024"/>
        </w:numPr>
      </w:pPr>
      <w:r>
        <w:t xml:space="preserve">status is valid</w:t>
      </w:r>
    </w:p>
    <w:p>
      <w:pPr>
        <w:pStyle w:val="Compact"/>
        <w:numPr>
          <w:ilvl w:val="0"/>
          <w:numId w:val="1024"/>
        </w:numPr>
      </w:pPr>
      <w:r>
        <w:t xml:space="preserve">date is present</w:t>
      </w:r>
    </w:p>
    <w:p>
      <w:pPr>
        <w:pStyle w:val="Compact"/>
        <w:numPr>
          <w:ilvl w:val="0"/>
          <w:numId w:val="1024"/>
        </w:numPr>
      </w:pPr>
      <w:r>
        <w:t xml:space="preserve">context is concrete</w:t>
      </w:r>
    </w:p>
    <w:p>
      <w:pPr>
        <w:pStyle w:val="Compact"/>
        <w:numPr>
          <w:ilvl w:val="0"/>
          <w:numId w:val="1024"/>
        </w:numPr>
      </w:pPr>
      <w:r>
        <w:t xml:space="preserve">decision is explicit</w:t>
      </w:r>
    </w:p>
    <w:p>
      <w:pPr>
        <w:pStyle w:val="Compact"/>
        <w:numPr>
          <w:ilvl w:val="0"/>
          <w:numId w:val="1024"/>
        </w:numPr>
      </w:pPr>
      <w:r>
        <w:t xml:space="preserve">rationale is project-specific</w:t>
      </w:r>
    </w:p>
    <w:p>
      <w:pPr>
        <w:pStyle w:val="Compact"/>
        <w:numPr>
          <w:ilvl w:val="0"/>
          <w:numId w:val="1024"/>
        </w:numPr>
      </w:pPr>
      <w:r>
        <w:t xml:space="preserve">alternatives are realistic</w:t>
      </w:r>
    </w:p>
    <w:p>
      <w:pPr>
        <w:pStyle w:val="Compact"/>
        <w:numPr>
          <w:ilvl w:val="0"/>
          <w:numId w:val="1024"/>
        </w:numPr>
      </w:pPr>
      <w:r>
        <w:t xml:space="preserve">consequences include trade-offs</w:t>
      </w:r>
    </w:p>
    <w:p>
      <w:pPr>
        <w:pStyle w:val="Compact"/>
        <w:numPr>
          <w:ilvl w:val="0"/>
          <w:numId w:val="1024"/>
        </w:numPr>
      </w:pPr>
      <w:r>
        <w:t xml:space="preserve">implementation impact is identified</w:t>
      </w:r>
    </w:p>
    <w:p>
      <w:pPr>
        <w:pStyle w:val="Compact"/>
        <w:numPr>
          <w:ilvl w:val="0"/>
          <w:numId w:val="1024"/>
        </w:numPr>
      </w:pPr>
      <w:r>
        <w:t xml:space="preserve">migration is addressed</w:t>
      </w:r>
    </w:p>
    <w:p>
      <w:pPr>
        <w:pStyle w:val="Compact"/>
        <w:numPr>
          <w:ilvl w:val="0"/>
          <w:numId w:val="1024"/>
        </w:numPr>
      </w:pPr>
      <w:r>
        <w:t xml:space="preserve">validation is defined</w:t>
      </w:r>
    </w:p>
    <w:p>
      <w:pPr>
        <w:pStyle w:val="Compact"/>
        <w:numPr>
          <w:ilvl w:val="0"/>
          <w:numId w:val="1024"/>
        </w:numPr>
      </w:pPr>
      <w:r>
        <w:t xml:space="preserve">related documentation is synchronized</w:t>
      </w:r>
    </w:p>
    <w:p>
      <w:pPr>
        <w:pStyle w:val="Compact"/>
        <w:numPr>
          <w:ilvl w:val="0"/>
          <w:numId w:val="1024"/>
        </w:numPr>
      </w:pPr>
      <w:r>
        <w:t xml:space="preserve">documentation generation passes</w:t>
      </w:r>
    </w:p>
    <w:p>
      <w:r>
        <w:pict>
          <v:rect style="width:0;height:1.5pt" o:hralign="center" o:hrstd="t" o:hr="t"/>
        </w:pict>
      </w:r>
    </w:p>
    <w:bookmarkEnd w:id="42"/>
    <w:bookmarkStart w:id="43" w:name="adr-review-checklist"/>
    <w:p>
      <w:pPr>
        <w:pStyle w:val="Heading1"/>
      </w:pPr>
      <w:r>
        <w:t xml:space="preserve">ADR Review Checklist</w:t>
      </w:r>
    </w:p>
    <w:p>
      <w:pPr>
        <w:pStyle w:val="FirstParagraph"/>
      </w:pPr>
      <w:r>
        <w:t xml:space="preserve">Before accepting an ADR verify:</w:t>
      </w:r>
    </w:p>
    <w:p>
      <w:pPr>
        <w:pStyle w:val="Compact"/>
        <w:numPr>
          <w:ilvl w:val="0"/>
          <w:numId w:val="1025"/>
        </w:numPr>
      </w:pPr>
      <w:r>
        <w:t xml:space="preserve">architecture-significant decision exists</w:t>
      </w:r>
    </w:p>
    <w:p>
      <w:pPr>
        <w:pStyle w:val="Compact"/>
        <w:numPr>
          <w:ilvl w:val="0"/>
          <w:numId w:val="1025"/>
        </w:numPr>
      </w:pPr>
      <w:r>
        <w:t xml:space="preserve">concrete requirement identified</w:t>
      </w:r>
    </w:p>
    <w:p>
      <w:pPr>
        <w:pStyle w:val="Compact"/>
        <w:numPr>
          <w:ilvl w:val="0"/>
          <w:numId w:val="1025"/>
        </w:numPr>
      </w:pPr>
      <w:r>
        <w:t xml:space="preserve">Trading Cockpit impact identified</w:t>
      </w:r>
    </w:p>
    <w:p>
      <w:pPr>
        <w:pStyle w:val="Compact"/>
        <w:numPr>
          <w:ilvl w:val="0"/>
          <w:numId w:val="1025"/>
        </w:numPr>
      </w:pPr>
      <w:r>
        <w:t xml:space="preserve">owning capability identified</w:t>
      </w:r>
    </w:p>
    <w:p>
      <w:pPr>
        <w:pStyle w:val="Compact"/>
        <w:numPr>
          <w:ilvl w:val="0"/>
          <w:numId w:val="1025"/>
        </w:numPr>
      </w:pPr>
      <w:r>
        <w:t xml:space="preserve">current implementation inspected</w:t>
      </w:r>
    </w:p>
    <w:p>
      <w:pPr>
        <w:pStyle w:val="Compact"/>
        <w:numPr>
          <w:ilvl w:val="0"/>
          <w:numId w:val="1025"/>
        </w:numPr>
      </w:pPr>
      <w:r>
        <w:t xml:space="preserve">current architecture reviewed</w:t>
      </w:r>
    </w:p>
    <w:p>
      <w:pPr>
        <w:pStyle w:val="Compact"/>
        <w:numPr>
          <w:ilvl w:val="0"/>
          <w:numId w:val="1025"/>
        </w:numPr>
      </w:pPr>
      <w:r>
        <w:t xml:space="preserve">real consumers identified</w:t>
      </w:r>
    </w:p>
    <w:p>
      <w:pPr>
        <w:pStyle w:val="Compact"/>
        <w:numPr>
          <w:ilvl w:val="0"/>
          <w:numId w:val="1025"/>
        </w:numPr>
      </w:pPr>
      <w:r>
        <w:t xml:space="preserve">speculative future requirements avoided</w:t>
      </w:r>
    </w:p>
    <w:p>
      <w:pPr>
        <w:pStyle w:val="Compact"/>
        <w:numPr>
          <w:ilvl w:val="0"/>
          <w:numId w:val="1025"/>
        </w:numPr>
      </w:pPr>
      <w:r>
        <w:t xml:space="preserve">decision explicit</w:t>
      </w:r>
    </w:p>
    <w:p>
      <w:pPr>
        <w:pStyle w:val="Compact"/>
        <w:numPr>
          <w:ilvl w:val="0"/>
          <w:numId w:val="1025"/>
        </w:numPr>
      </w:pPr>
      <w:r>
        <w:t xml:space="preserve">rationale concrete</w:t>
      </w:r>
    </w:p>
    <w:p>
      <w:pPr>
        <w:pStyle w:val="Compact"/>
        <w:numPr>
          <w:ilvl w:val="0"/>
          <w:numId w:val="1025"/>
        </w:numPr>
      </w:pPr>
      <w:r>
        <w:t xml:space="preserve">alternatives realistic</w:t>
      </w:r>
    </w:p>
    <w:p>
      <w:pPr>
        <w:pStyle w:val="Compact"/>
        <w:numPr>
          <w:ilvl w:val="0"/>
          <w:numId w:val="1025"/>
        </w:numPr>
      </w:pPr>
      <w:r>
        <w:t xml:space="preserve">positive consequences documented</w:t>
      </w:r>
    </w:p>
    <w:p>
      <w:pPr>
        <w:pStyle w:val="Compact"/>
        <w:numPr>
          <w:ilvl w:val="0"/>
          <w:numId w:val="1025"/>
        </w:numPr>
      </w:pPr>
      <w:r>
        <w:t xml:space="preserve">negative consequences documented</w:t>
      </w:r>
    </w:p>
    <w:p>
      <w:pPr>
        <w:pStyle w:val="Compact"/>
        <w:numPr>
          <w:ilvl w:val="0"/>
          <w:numId w:val="1025"/>
        </w:numPr>
      </w:pPr>
      <w:r>
        <w:t xml:space="preserve">architecture boundaries preserved</w:t>
      </w:r>
    </w:p>
    <w:p>
      <w:pPr>
        <w:pStyle w:val="Compact"/>
        <w:numPr>
          <w:ilvl w:val="0"/>
          <w:numId w:val="1025"/>
        </w:numPr>
      </w:pPr>
      <w:r>
        <w:t xml:space="preserve">external side effects evaluated where relevant</w:t>
      </w:r>
    </w:p>
    <w:p>
      <w:pPr>
        <w:pStyle w:val="Compact"/>
        <w:numPr>
          <w:ilvl w:val="0"/>
          <w:numId w:val="1025"/>
        </w:numPr>
      </w:pPr>
      <w:r>
        <w:t xml:space="preserve">duplicate submission risk evaluated where relevant</w:t>
      </w:r>
    </w:p>
    <w:p>
      <w:pPr>
        <w:pStyle w:val="Compact"/>
        <w:numPr>
          <w:ilvl w:val="0"/>
          <w:numId w:val="1025"/>
        </w:numPr>
      </w:pPr>
      <w:r>
        <w:t xml:space="preserve">retry behaviour evaluated where relevant</w:t>
      </w:r>
    </w:p>
    <w:p>
      <w:pPr>
        <w:pStyle w:val="Compact"/>
        <w:numPr>
          <w:ilvl w:val="0"/>
          <w:numId w:val="1025"/>
        </w:numPr>
      </w:pPr>
      <w:r>
        <w:t xml:space="preserve">broker acknowledgement evaluated where relevant</w:t>
      </w:r>
    </w:p>
    <w:p>
      <w:pPr>
        <w:pStyle w:val="Compact"/>
        <w:numPr>
          <w:ilvl w:val="0"/>
          <w:numId w:val="1025"/>
        </w:numPr>
      </w:pPr>
      <w:r>
        <w:t xml:space="preserve">reconciliation impact evaluated where relevant</w:t>
      </w:r>
    </w:p>
    <w:p>
      <w:pPr>
        <w:pStyle w:val="Compact"/>
        <w:numPr>
          <w:ilvl w:val="0"/>
          <w:numId w:val="1025"/>
        </w:numPr>
      </w:pPr>
      <w:r>
        <w:t xml:space="preserve">PAPER and LIVE impact evaluated where relevant</w:t>
      </w:r>
    </w:p>
    <w:p>
      <w:pPr>
        <w:pStyle w:val="Compact"/>
        <w:numPr>
          <w:ilvl w:val="0"/>
          <w:numId w:val="1025"/>
        </w:numPr>
      </w:pPr>
      <w:r>
        <w:t xml:space="preserve">migration defined</w:t>
      </w:r>
    </w:p>
    <w:p>
      <w:pPr>
        <w:pStyle w:val="Compact"/>
        <w:numPr>
          <w:ilvl w:val="0"/>
          <w:numId w:val="1025"/>
        </w:numPr>
      </w:pPr>
      <w:r>
        <w:t xml:space="preserve">validation defined</w:t>
      </w:r>
    </w:p>
    <w:p>
      <w:pPr>
        <w:pStyle w:val="Compact"/>
        <w:numPr>
          <w:ilvl w:val="0"/>
          <w:numId w:val="1025"/>
        </w:numPr>
      </w:pPr>
      <w:r>
        <w:t xml:space="preserve">architecture documentation synchronized</w:t>
      </w:r>
    </w:p>
    <w:p>
      <w:pPr>
        <w:pStyle w:val="Compact"/>
        <w:numPr>
          <w:ilvl w:val="0"/>
          <w:numId w:val="1025"/>
        </w:numPr>
      </w:pPr>
      <w:r>
        <w:t xml:space="preserve">documentation generation passed</w:t>
      </w:r>
    </w:p>
    <w:p>
      <w:r>
        <w:pict>
          <v:rect style="width:0;height:1.5pt" o:hralign="center" o:hrstd="t" o:hr="t"/>
        </w:pict>
      </w:r>
    </w:p>
    <w:bookmarkEnd w:id="43"/>
    <w:bookmarkStart w:id="44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26"/>
        </w:numPr>
      </w:pPr>
      <w:r>
        <w:t xml:space="preserve">Product_Vision.md</w:t>
      </w:r>
    </w:p>
    <w:p>
      <w:pPr>
        <w:pStyle w:val="Compact"/>
        <w:numPr>
          <w:ilvl w:val="0"/>
          <w:numId w:val="1026"/>
        </w:numPr>
      </w:pPr>
      <w:r>
        <w:t xml:space="preserve">Product_Roadmap.md</w:t>
      </w:r>
    </w:p>
    <w:p>
      <w:pPr>
        <w:pStyle w:val="Compact"/>
        <w:numPr>
          <w:ilvl w:val="0"/>
          <w:numId w:val="1026"/>
        </w:numPr>
      </w:pPr>
      <w:r>
        <w:t xml:space="preserve">Project_Overview.md</w:t>
      </w:r>
    </w:p>
    <w:p>
      <w:pPr>
        <w:pStyle w:val="Compact"/>
        <w:numPr>
          <w:ilvl w:val="0"/>
          <w:numId w:val="1026"/>
        </w:numPr>
      </w:pPr>
      <w:r>
        <w:t xml:space="preserve">Architecture.md</w:t>
      </w:r>
    </w:p>
    <w:p>
      <w:pPr>
        <w:pStyle w:val="Compact"/>
        <w:numPr>
          <w:ilvl w:val="0"/>
          <w:numId w:val="1026"/>
        </w:numPr>
      </w:pPr>
      <w:r>
        <w:t xml:space="preserve">Domain_Model.md</w:t>
      </w:r>
    </w:p>
    <w:p>
      <w:pPr>
        <w:pStyle w:val="Compact"/>
        <w:numPr>
          <w:ilvl w:val="0"/>
          <w:numId w:val="1026"/>
        </w:numPr>
      </w:pPr>
      <w:r>
        <w:t xml:space="preserve">Infrastructure.md</w:t>
      </w:r>
    </w:p>
    <w:p>
      <w:pPr>
        <w:pStyle w:val="Compact"/>
        <w:numPr>
          <w:ilvl w:val="0"/>
          <w:numId w:val="1026"/>
        </w:numPr>
      </w:pPr>
      <w:r>
        <w:t xml:space="preserve">Project_Structure.md</w:t>
      </w:r>
    </w:p>
    <w:p>
      <w:pPr>
        <w:pStyle w:val="Compact"/>
        <w:numPr>
          <w:ilvl w:val="0"/>
          <w:numId w:val="1026"/>
        </w:numPr>
      </w:pPr>
      <w:r>
        <w:t xml:space="preserve">Technical_Specifications.md</w:t>
      </w:r>
    </w:p>
    <w:p>
      <w:pPr>
        <w:pStyle w:val="Compact"/>
        <w:numPr>
          <w:ilvl w:val="0"/>
          <w:numId w:val="1026"/>
        </w:numPr>
      </w:pPr>
      <w:r>
        <w:t xml:space="preserve">API_Guidelines.md</w:t>
      </w:r>
    </w:p>
    <w:p>
      <w:pPr>
        <w:pStyle w:val="Compact"/>
        <w:numPr>
          <w:ilvl w:val="0"/>
          <w:numId w:val="1026"/>
        </w:numPr>
      </w:pPr>
      <w:r>
        <w:t xml:space="preserve">Coding_Standards.md</w:t>
      </w:r>
    </w:p>
    <w:p>
      <w:pPr>
        <w:pStyle w:val="Compact"/>
        <w:numPr>
          <w:ilvl w:val="0"/>
          <w:numId w:val="1026"/>
        </w:numPr>
      </w:pPr>
      <w:r>
        <w:t xml:space="preserve">Development_Guidelines.md</w:t>
      </w:r>
    </w:p>
    <w:p>
      <w:pPr>
        <w:pStyle w:val="Compact"/>
        <w:numPr>
          <w:ilvl w:val="0"/>
          <w:numId w:val="1026"/>
        </w:numPr>
      </w:pPr>
      <w:r>
        <w:t xml:space="preserve">Testing_Strategy.md</w:t>
      </w:r>
    </w:p>
    <w:p>
      <w:pPr>
        <w:pStyle w:val="Compact"/>
        <w:numPr>
          <w:ilvl w:val="0"/>
          <w:numId w:val="1026"/>
        </w:numPr>
      </w:pPr>
      <w:r>
        <w:t xml:space="preserve">AI_Agent_Guide.md</w:t>
      </w:r>
    </w:p>
    <w:p>
      <w:pPr>
        <w:pStyle w:val="Compact"/>
        <w:numPr>
          <w:ilvl w:val="0"/>
          <w:numId w:val="1026"/>
        </w:numPr>
      </w:pPr>
      <w:r>
        <w:t xml:space="preserve">AGENTS.md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2026-07-06T17:13:58Z</dcterms:created>
  <dcterms:modified xsi:type="dcterms:W3CDTF">2026-07-06T17:13:58Z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