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pi-guidelines"/>
    <w:p>
      <w:pPr>
        <w:pStyle w:val="Heading1"/>
      </w:pPr>
      <w:r>
        <w:t xml:space="preserve">API Guidelines</w:t>
      </w:r>
    </w:p>
    <w:p>
      <w:pPr>
        <w:pStyle w:val="FirstParagraph"/>
      </w:pPr>
      <w:r>
        <w:t xml:space="preserve">Version: 1.0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API and interface design guidelines for Trading Platform Pro and its primary application, the Trading Cockpit.</w:t>
      </w:r>
    </w:p>
    <w:p>
      <w:pPr>
        <w:pStyle w:val="BodyText"/>
      </w:pPr>
      <w:r>
        <w:t xml:space="preserve">The guidelines apply to explicit software boundaries used by Domain, Application, Infrastructure and Presentation components.</w:t>
      </w:r>
    </w:p>
    <w:p>
      <w:pPr>
        <w:pStyle w:val="BodyText"/>
      </w:pPr>
      <w:r>
        <w:t xml:space="preserve">APIs shall support concrete product workflows and architecture boundaries.</w:t>
      </w:r>
    </w:p>
    <w:p>
      <w:pPr>
        <w:pStyle w:val="BodyText"/>
      </w:pPr>
      <w:r>
        <w:t xml:space="preserve">Avoid introducing public or extensible APIs for hypothetical future requirements.</w:t>
      </w:r>
    </w:p>
    <w:p>
      <w:r>
        <w:pict>
          <v:rect style="width:0;height:1.5pt" o:hralign="center" o:hrstd="t" o:hr="t"/>
        </w:pict>
      </w:r>
    </w:p>
    <w:bookmarkEnd w:id="10"/>
    <w:bookmarkStart w:id="11" w:name="scope"/>
    <w:p>
      <w:pPr>
        <w:pStyle w:val="Heading1"/>
      </w:pPr>
      <w:r>
        <w:t xml:space="preserve">Scope</w:t>
      </w:r>
    </w:p>
    <w:p>
      <w:pPr>
        <w:pStyle w:val="FirstParagraph"/>
      </w:pPr>
      <w:r>
        <w:t xml:space="preserve">These guidelines apply to:</w:t>
      </w:r>
    </w:p>
    <w:p>
      <w:pPr>
        <w:pStyle w:val="Compact"/>
        <w:numPr>
          <w:ilvl w:val="0"/>
          <w:numId w:val="1001"/>
        </w:numPr>
      </w:pPr>
      <w:r>
        <w:t xml:space="preserve">Internal Python interfaces</w:t>
      </w:r>
    </w:p>
    <w:p>
      <w:pPr>
        <w:pStyle w:val="Compact"/>
        <w:numPr>
          <w:ilvl w:val="0"/>
          <w:numId w:val="1001"/>
        </w:numPr>
      </w:pPr>
      <w:r>
        <w:t xml:space="preserve">Application ports</w:t>
      </w:r>
    </w:p>
    <w:p>
      <w:pPr>
        <w:pStyle w:val="Compact"/>
        <w:numPr>
          <w:ilvl w:val="0"/>
          <w:numId w:val="1001"/>
        </w:numPr>
      </w:pPr>
      <w:r>
        <w:t xml:space="preserve">Repository interfaces</w:t>
      </w:r>
    </w:p>
    <w:p>
      <w:pPr>
        <w:pStyle w:val="Compact"/>
        <w:numPr>
          <w:ilvl w:val="0"/>
          <w:numId w:val="1001"/>
        </w:numPr>
      </w:pPr>
      <w:r>
        <w:t xml:space="preserve">Application service interfaces</w:t>
      </w:r>
    </w:p>
    <w:p>
      <w:pPr>
        <w:pStyle w:val="Compact"/>
        <w:numPr>
          <w:ilvl w:val="0"/>
          <w:numId w:val="1001"/>
        </w:numPr>
      </w:pPr>
      <w:r>
        <w:t xml:space="preserve">Infrastructure adapter interfaces</w:t>
      </w:r>
    </w:p>
    <w:p>
      <w:pPr>
        <w:pStyle w:val="Compact"/>
        <w:numPr>
          <w:ilvl w:val="0"/>
          <w:numId w:val="1001"/>
        </w:numPr>
      </w:pPr>
      <w:r>
        <w:t xml:space="preserve">Broker integration interfaces</w:t>
      </w:r>
    </w:p>
    <w:p>
      <w:pPr>
        <w:pStyle w:val="Compact"/>
        <w:numPr>
          <w:ilvl w:val="0"/>
          <w:numId w:val="1001"/>
        </w:numPr>
      </w:pPr>
      <w:r>
        <w:t xml:space="preserve">Market data interfaces</w:t>
      </w:r>
    </w:p>
    <w:p>
      <w:pPr>
        <w:pStyle w:val="Compact"/>
        <w:numPr>
          <w:ilvl w:val="0"/>
          <w:numId w:val="1001"/>
        </w:numPr>
      </w:pPr>
      <w:r>
        <w:t xml:space="preserve">Presentation-facing application interfaces</w:t>
      </w:r>
    </w:p>
    <w:p>
      <w:pPr>
        <w:pStyle w:val="FirstParagraph"/>
      </w:pPr>
      <w:r>
        <w:t xml:space="preserve">Future interfaces such as:</w:t>
      </w:r>
    </w:p>
    <w:p>
      <w:pPr>
        <w:pStyle w:val="Compact"/>
        <w:numPr>
          <w:ilvl w:val="0"/>
          <w:numId w:val="1002"/>
        </w:numPr>
      </w:pPr>
      <w:r>
        <w:t xml:space="preserve">Plugin APIs</w:t>
      </w:r>
    </w:p>
    <w:p>
      <w:pPr>
        <w:pStyle w:val="Compact"/>
        <w:numPr>
          <w:ilvl w:val="0"/>
          <w:numId w:val="1002"/>
        </w:numPr>
      </w:pPr>
      <w:r>
        <w:t xml:space="preserve">REST APIs</w:t>
      </w:r>
    </w:p>
    <w:p>
      <w:pPr>
        <w:pStyle w:val="Compact"/>
        <w:numPr>
          <w:ilvl w:val="0"/>
          <w:numId w:val="1002"/>
        </w:numPr>
      </w:pPr>
      <w:r>
        <w:t xml:space="preserve">WebSocket APIs</w:t>
      </w:r>
    </w:p>
    <w:p>
      <w:pPr>
        <w:pStyle w:val="FirstParagraph"/>
      </w:pPr>
      <w:r>
        <w:t xml:space="preserve">require a concrete product requirement and explicit architecture review before introduction.</w:t>
      </w:r>
    </w:p>
    <w:p>
      <w:r>
        <w:pict>
          <v:rect style="width:0;height:1.5pt" o:hralign="center" o:hrstd="t" o:hr="t"/>
        </w:pict>
      </w:r>
    </w:p>
    <w:bookmarkEnd w:id="11"/>
    <w:bookmarkStart w:id="12" w:name="api-design-principles"/>
    <w:p>
      <w:pPr>
        <w:pStyle w:val="Heading1"/>
      </w:pPr>
      <w:r>
        <w:t xml:space="preserve">API Design Principles</w:t>
      </w:r>
    </w:p>
    <w:p>
      <w:pPr>
        <w:pStyle w:val="FirstParagraph"/>
      </w:pPr>
      <w:r>
        <w:t xml:space="preserve">Every API shall be:</w:t>
      </w:r>
    </w:p>
    <w:p>
      <w:pPr>
        <w:pStyle w:val="Compact"/>
        <w:numPr>
          <w:ilvl w:val="0"/>
          <w:numId w:val="1003"/>
        </w:numPr>
      </w:pPr>
      <w:r>
        <w:t xml:space="preserve">explicit</w:t>
      </w:r>
    </w:p>
    <w:p>
      <w:pPr>
        <w:pStyle w:val="Compact"/>
        <w:numPr>
          <w:ilvl w:val="0"/>
          <w:numId w:val="1003"/>
        </w:numPr>
      </w:pPr>
      <w:r>
        <w:t xml:space="preserve">minimal</w:t>
      </w:r>
    </w:p>
    <w:p>
      <w:pPr>
        <w:pStyle w:val="Compact"/>
        <w:numPr>
          <w:ilvl w:val="0"/>
          <w:numId w:val="1003"/>
        </w:numPr>
      </w:pPr>
      <w:r>
        <w:t xml:space="preserve">predictable</w:t>
      </w:r>
    </w:p>
    <w:p>
      <w:pPr>
        <w:pStyle w:val="Compact"/>
        <w:numPr>
          <w:ilvl w:val="0"/>
          <w:numId w:val="1003"/>
        </w:numPr>
      </w:pPr>
      <w:r>
        <w:t xml:space="preserve">strongly typed</w:t>
      </w:r>
    </w:p>
    <w:p>
      <w:pPr>
        <w:pStyle w:val="Compact"/>
        <w:numPr>
          <w:ilvl w:val="0"/>
          <w:numId w:val="1003"/>
        </w:numPr>
      </w:pPr>
      <w:r>
        <w:t xml:space="preserve">responsibility-oriented</w:t>
      </w:r>
    </w:p>
    <w:p>
      <w:pPr>
        <w:pStyle w:val="Compact"/>
        <w:numPr>
          <w:ilvl w:val="0"/>
          <w:numId w:val="1003"/>
        </w:numPr>
      </w:pPr>
      <w:r>
        <w:t xml:space="preserve">testable</w:t>
      </w:r>
    </w:p>
    <w:p>
      <w:pPr>
        <w:pStyle w:val="Compact"/>
        <w:numPr>
          <w:ilvl w:val="0"/>
          <w:numId w:val="1003"/>
        </w:numPr>
      </w:pPr>
      <w:r>
        <w:t xml:space="preserve">documented where externally consumed</w:t>
      </w:r>
    </w:p>
    <w:p>
      <w:pPr>
        <w:pStyle w:val="Compact"/>
        <w:numPr>
          <w:ilvl w:val="0"/>
          <w:numId w:val="1003"/>
        </w:numPr>
      </w:pPr>
      <w:r>
        <w:t xml:space="preserve">aligned with architecture boundaries</w:t>
      </w:r>
    </w:p>
    <w:p>
      <w:pPr>
        <w:pStyle w:val="FirstParagraph"/>
      </w:pPr>
      <w:r>
        <w:t xml:space="preserve">Prefer narrow interfaces that represent one capability.</w:t>
      </w:r>
    </w:p>
    <w:p>
      <w:pPr>
        <w:pStyle w:val="BodyText"/>
      </w:pPr>
      <w:r>
        <w:t xml:space="preserve">Avoid generic interfaces that expose unrelated operations.</w:t>
      </w:r>
    </w:p>
    <w:p>
      <w:r>
        <w:pict>
          <v:rect style="width:0;height:1.5pt" o:hralign="center" o:hrstd="t" o:hr="t"/>
        </w:pict>
      </w:r>
    </w:p>
    <w:bookmarkEnd w:id="12"/>
    <w:bookmarkStart w:id="13" w:name="product-and-capability-alignment"/>
    <w:p>
      <w:pPr>
        <w:pStyle w:val="Heading1"/>
      </w:pPr>
      <w:r>
        <w:t xml:space="preserve">Product and Capability Alignment</w:t>
      </w:r>
    </w:p>
    <w:p>
      <w:pPr>
        <w:pStyle w:val="FirstParagraph"/>
      </w:pPr>
      <w:r>
        <w:t xml:space="preserve">An API shall support a defined:</w:t>
      </w:r>
    </w:p>
    <w:p>
      <w:pPr>
        <w:pStyle w:val="Compact"/>
        <w:numPr>
          <w:ilvl w:val="0"/>
          <w:numId w:val="1004"/>
        </w:numPr>
      </w:pPr>
      <w:r>
        <w:t xml:space="preserve">product workflow</w:t>
      </w:r>
    </w:p>
    <w:p>
      <w:pPr>
        <w:pStyle w:val="Compact"/>
        <w:numPr>
          <w:ilvl w:val="0"/>
          <w:numId w:val="1004"/>
        </w:numPr>
      </w:pPr>
      <w:r>
        <w:t xml:space="preserve">application use case</w:t>
      </w:r>
    </w:p>
    <w:p>
      <w:pPr>
        <w:pStyle w:val="Compact"/>
        <w:numPr>
          <w:ilvl w:val="0"/>
          <w:numId w:val="1004"/>
        </w:numPr>
      </w:pPr>
      <w:r>
        <w:t xml:space="preserve">domain capability</w:t>
      </w:r>
    </w:p>
    <w:p>
      <w:pPr>
        <w:pStyle w:val="Compact"/>
        <w:numPr>
          <w:ilvl w:val="0"/>
          <w:numId w:val="1004"/>
        </w:numPr>
      </w:pPr>
      <w:r>
        <w:t xml:space="preserve">technical integration boundary</w:t>
      </w:r>
    </w:p>
    <w:p>
      <w:pPr>
        <w:pStyle w:val="FirstParagraph"/>
      </w:pPr>
      <w:r>
        <w:t xml:space="preserve">Before introducing an interface identify:</w:t>
      </w:r>
    </w:p>
    <w:p>
      <w:pPr>
        <w:pStyle w:val="Compact"/>
        <w:numPr>
          <w:ilvl w:val="0"/>
          <w:numId w:val="1005"/>
        </w:numPr>
      </w:pPr>
      <w:r>
        <w:t xml:space="preserve">The consumer.</w:t>
      </w:r>
    </w:p>
    <w:p>
      <w:pPr>
        <w:pStyle w:val="Compact"/>
        <w:numPr>
          <w:ilvl w:val="0"/>
          <w:numId w:val="1005"/>
        </w:numPr>
      </w:pPr>
      <w:r>
        <w:t xml:space="preserve">The owner.</w:t>
      </w:r>
    </w:p>
    <w:p>
      <w:pPr>
        <w:pStyle w:val="Compact"/>
        <w:numPr>
          <w:ilvl w:val="0"/>
          <w:numId w:val="1005"/>
        </w:numPr>
      </w:pPr>
      <w:r>
        <w:t xml:space="preserve">The capability boundary.</w:t>
      </w:r>
    </w:p>
    <w:p>
      <w:pPr>
        <w:pStyle w:val="Compact"/>
        <w:numPr>
          <w:ilvl w:val="0"/>
          <w:numId w:val="1005"/>
        </w:numPr>
      </w:pPr>
      <w:r>
        <w:t xml:space="preserve">The required operations.</w:t>
      </w:r>
    </w:p>
    <w:p>
      <w:pPr>
        <w:pStyle w:val="Compact"/>
        <w:numPr>
          <w:ilvl w:val="0"/>
          <w:numId w:val="1005"/>
        </w:numPr>
      </w:pPr>
      <w:r>
        <w:t xml:space="preserve">The expected failure behaviour.</w:t>
      </w:r>
    </w:p>
    <w:p>
      <w:pPr>
        <w:pStyle w:val="FirstParagraph"/>
      </w:pPr>
      <w:r>
        <w:t xml:space="preserve">Do not introduce interfaces only to anticipate future reuse.</w:t>
      </w:r>
    </w:p>
    <w:p>
      <w:r>
        <w:pict>
          <v:rect style="width:0;height:1.5pt" o:hralign="center" o:hrstd="t" o:hr="t"/>
        </w:pict>
      </w:r>
    </w:p>
    <w:bookmarkEnd w:id="13"/>
    <w:bookmarkStart w:id="14" w:name="architecture-boundary-rules"/>
    <w:p>
      <w:pPr>
        <w:pStyle w:val="Heading1"/>
      </w:pPr>
      <w:r>
        <w:t xml:space="preserve">Architecture Boundary Rules</w:t>
      </w:r>
    </w:p>
    <w:p>
      <w:pPr>
        <w:pStyle w:val="FirstParagraph"/>
      </w:pPr>
      <w:r>
        <w:t xml:space="preserve">Interfaces shall preserve the architecture dependency direction.</w:t>
      </w:r>
    </w:p>
    <w:p>
      <w:pPr>
        <w:pStyle w:val="SourceCode"/>
      </w:pPr>
      <w:r>
        <w:rPr>
          <w:rStyle w:val="VerbatimChar"/>
        </w:rPr>
        <w:t xml:space="preserve">Presentation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Domain</w:t>
      </w:r>
      <w:r>
        <w:br/>
      </w:r>
      <w:r>
        <w:br/>
      </w:r>
      <w:r>
        <w:rPr>
          <w:rStyle w:val="VerbatimChar"/>
        </w:rPr>
        <w:t xml:space="preserve">Infrastructure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Application / Domain Ports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Presentation consumes Application services.</w:t>
      </w:r>
    </w:p>
    <w:p>
      <w:pPr>
        <w:pStyle w:val="Compact"/>
        <w:numPr>
          <w:ilvl w:val="0"/>
          <w:numId w:val="1006"/>
        </w:numPr>
      </w:pPr>
      <w:r>
        <w:t xml:space="preserve">Application consumes repository or integration ports.</w:t>
      </w:r>
    </w:p>
    <w:p>
      <w:pPr>
        <w:pStyle w:val="Compact"/>
        <w:numPr>
          <w:ilvl w:val="0"/>
          <w:numId w:val="1006"/>
        </w:numPr>
      </w:pPr>
      <w:r>
        <w:t xml:space="preserve">Infrastructure implements ports.</w:t>
      </w:r>
    </w:p>
    <w:p>
      <w:pPr>
        <w:pStyle w:val="Compact"/>
        <w:numPr>
          <w:ilvl w:val="0"/>
          <w:numId w:val="1006"/>
        </w:numPr>
      </w:pPr>
      <w:r>
        <w:t xml:space="preserve">Domain remains independent from technical APIs.</w:t>
      </w:r>
    </w:p>
    <w:p>
      <w:pPr>
        <w:pStyle w:val="FirstParagraph"/>
      </w:pPr>
      <w:r>
        <w:t xml:space="preserve">Presentation shall not consume concrete Infrastructure adapters directly.</w:t>
      </w:r>
    </w:p>
    <w:p>
      <w:pPr>
        <w:pStyle w:val="BodyText"/>
      </w:pPr>
      <w:r>
        <w:t xml:space="preserve">Domain APIs shall not expose Infrastructure types.</w:t>
      </w:r>
    </w:p>
    <w:p>
      <w:r>
        <w:pict>
          <v:rect style="width:0;height:1.5pt" o:hralign="center" o:hrstd="t" o:hr="t"/>
        </w:pict>
      </w:r>
    </w:p>
    <w:bookmarkEnd w:id="14"/>
    <w:bookmarkStart w:id="15" w:name="ports-and-adapters"/>
    <w:p>
      <w:pPr>
        <w:pStyle w:val="Heading1"/>
      </w:pPr>
      <w:r>
        <w:t xml:space="preserve">Ports and Adapters</w:t>
      </w:r>
    </w:p>
    <w:p>
      <w:pPr>
        <w:pStyle w:val="FirstParagraph"/>
      </w:pPr>
      <w:r>
        <w:t xml:space="preserve">External technical capabilities shall be represented through explicit ports where application workflows require abstraction.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BrokerPort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InteractiveBrokersAdapter</w:t>
      </w:r>
    </w:p>
    <w:p>
      <w:pPr>
        <w:pStyle w:val="FirstParagraph"/>
      </w:pPr>
      <w:r>
        <w:t xml:space="preserve">The port defines the application-oriented contract.</w:t>
      </w:r>
    </w:p>
    <w:p>
      <w:pPr>
        <w:pStyle w:val="BodyText"/>
      </w:pPr>
      <w:r>
        <w:t xml:space="preserve">The adapter implements provider-specific behaviour.</w:t>
      </w:r>
    </w:p>
    <w:p>
      <w:pPr>
        <w:pStyle w:val="BodyText"/>
      </w:pPr>
      <w:r>
        <w:t xml:space="preserve">Ports shall use application-oriented or domain-oriented language.</w:t>
      </w:r>
    </w:p>
    <w:p>
      <w:pPr>
        <w:pStyle w:val="BodyText"/>
      </w:pPr>
      <w:r>
        <w:t xml:space="preserve">Adapters may use provider-specific language internally.</w:t>
      </w:r>
    </w:p>
    <w:p>
      <w:r>
        <w:pict>
          <v:rect style="width:0;height:1.5pt" o:hralign="center" o:hrstd="t" o:hr="t"/>
        </w:pict>
      </w:r>
    </w:p>
    <w:bookmarkEnd w:id="15"/>
    <w:bookmarkStart w:id="16" w:name="port-design"/>
    <w:p>
      <w:pPr>
        <w:pStyle w:val="Heading1"/>
      </w:pPr>
      <w:r>
        <w:t xml:space="preserve">Port Design</w:t>
      </w:r>
    </w:p>
    <w:p>
      <w:pPr>
        <w:pStyle w:val="FirstParagraph"/>
      </w:pPr>
      <w:r>
        <w:t xml:space="preserve">A port shall define the minimum capability required by its consumer.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class BrokerOrderPort(Protocol):</w:t>
      </w:r>
      <w:r>
        <w:br/>
      </w:r>
      <w:r>
        <w:rPr>
          <w:rStyle w:val="VerbatimChar"/>
        </w:rPr>
        <w:t xml:space="preserve">    async def submit_order(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request: SubmitOrderRequest,</w:t>
      </w:r>
      <w:r>
        <w:br/>
      </w:r>
      <w:r>
        <w:rPr>
          <w:rStyle w:val="VerbatimChar"/>
        </w:rPr>
        <w:t xml:space="preserve">    ) -&gt; BrokerOrderSubmission:</w:t>
      </w:r>
      <w:r>
        <w:br/>
      </w:r>
      <w:r>
        <w:rPr>
          <w:rStyle w:val="VerbatimChar"/>
        </w:rPr>
        <w:t xml:space="preserve">        ...</w:t>
      </w:r>
    </w:p>
    <w:p>
      <w:pPr>
        <w:pStyle w:val="FirstParagraph"/>
      </w:pPr>
      <w:r>
        <w:t xml:space="preserve">Avoid large interfaces such as:</w:t>
      </w:r>
    </w:p>
    <w:p>
      <w:pPr>
        <w:pStyle w:val="SourceCode"/>
      </w:pPr>
      <w:r>
        <w:rPr>
          <w:rStyle w:val="VerbatimChar"/>
        </w:rPr>
        <w:t xml:space="preserve">class BrokerService:</w:t>
      </w:r>
      <w:r>
        <w:br/>
      </w:r>
      <w:r>
        <w:rPr>
          <w:rStyle w:val="VerbatimChar"/>
        </w:rPr>
        <w:t xml:space="preserve">    ...</w:t>
      </w:r>
    </w:p>
    <w:p>
      <w:pPr>
        <w:pStyle w:val="FirstParagraph"/>
      </w:pPr>
      <w:r>
        <w:t xml:space="preserve">when unrelated capabilities can be separated.</w:t>
      </w:r>
    </w:p>
    <w:p>
      <w:pPr>
        <w:pStyle w:val="BodyText"/>
      </w:pPr>
      <w:r>
        <w:t xml:space="preserve">Potential broker capabilities may include:</w:t>
      </w:r>
    </w:p>
    <w:p>
      <w:pPr>
        <w:pStyle w:val="Compact"/>
        <w:numPr>
          <w:ilvl w:val="0"/>
          <w:numId w:val="1007"/>
        </w:numPr>
      </w:pPr>
      <w:r>
        <w:t xml:space="preserve">BrokerConnectionPort</w:t>
      </w:r>
    </w:p>
    <w:p>
      <w:pPr>
        <w:pStyle w:val="Compact"/>
        <w:numPr>
          <w:ilvl w:val="0"/>
          <w:numId w:val="1007"/>
        </w:numPr>
      </w:pPr>
      <w:r>
        <w:t xml:space="preserve">BrokerAccountPort</w:t>
      </w:r>
    </w:p>
    <w:p>
      <w:pPr>
        <w:pStyle w:val="Compact"/>
        <w:numPr>
          <w:ilvl w:val="0"/>
          <w:numId w:val="1007"/>
        </w:numPr>
      </w:pPr>
      <w:r>
        <w:t xml:space="preserve">BrokerPortfolioPort</w:t>
      </w:r>
    </w:p>
    <w:p>
      <w:pPr>
        <w:pStyle w:val="Compact"/>
        <w:numPr>
          <w:ilvl w:val="0"/>
          <w:numId w:val="1007"/>
        </w:numPr>
      </w:pPr>
      <w:r>
        <w:t xml:space="preserve">BrokerOrderPort</w:t>
      </w:r>
    </w:p>
    <w:p>
      <w:pPr>
        <w:pStyle w:val="Compact"/>
        <w:numPr>
          <w:ilvl w:val="0"/>
          <w:numId w:val="1007"/>
        </w:numPr>
      </w:pPr>
      <w:r>
        <w:t xml:space="preserve">BrokerExecutionPort</w:t>
      </w:r>
    </w:p>
    <w:p>
      <w:pPr>
        <w:pStyle w:val="FirstParagraph"/>
      </w:pPr>
      <w:r>
        <w:t xml:space="preserve">Interface separation shall be based on real consumers and workflows.</w:t>
      </w:r>
    </w:p>
    <w:p>
      <w:pPr>
        <w:pStyle w:val="BodyText"/>
      </w:pPr>
      <w:r>
        <w:t xml:space="preserve">Do not create all potential ports before they are required.</w:t>
      </w:r>
    </w:p>
    <w:p>
      <w:r>
        <w:pict>
          <v:rect style="width:0;height:1.5pt" o:hralign="center" o:hrstd="t" o:hr="t"/>
        </w:pict>
      </w:r>
    </w:p>
    <w:bookmarkEnd w:id="16"/>
    <w:bookmarkStart w:id="17" w:name="adapter-design"/>
    <w:p>
      <w:pPr>
        <w:pStyle w:val="Heading1"/>
      </w:pPr>
      <w:r>
        <w:t xml:space="preserve">Adapter Design</w:t>
      </w:r>
    </w:p>
    <w:p>
      <w:pPr>
        <w:pStyle w:val="FirstParagraph"/>
      </w:pPr>
      <w:r>
        <w:t xml:space="preserve">Infrastructure adapters implement explicit ports.</w:t>
      </w:r>
    </w:p>
    <w:p>
      <w:pPr>
        <w:pStyle w:val="BodyText"/>
      </w:pPr>
      <w:r>
        <w:t xml:space="preserve">Adapters are responsible for:</w:t>
      </w:r>
    </w:p>
    <w:p>
      <w:pPr>
        <w:pStyle w:val="Compact"/>
        <w:numPr>
          <w:ilvl w:val="0"/>
          <w:numId w:val="1008"/>
        </w:numPr>
      </w:pPr>
      <w:r>
        <w:t xml:space="preserve">provider communication</w:t>
      </w:r>
    </w:p>
    <w:p>
      <w:pPr>
        <w:pStyle w:val="Compact"/>
        <w:numPr>
          <w:ilvl w:val="0"/>
          <w:numId w:val="1008"/>
        </w:numPr>
      </w:pPr>
      <w:r>
        <w:t xml:space="preserve">provider identifier translation</w:t>
      </w:r>
    </w:p>
    <w:p>
      <w:pPr>
        <w:pStyle w:val="Compact"/>
        <w:numPr>
          <w:ilvl w:val="0"/>
          <w:numId w:val="1008"/>
        </w:numPr>
      </w:pPr>
      <w:r>
        <w:t xml:space="preserve">provider model translation</w:t>
      </w:r>
    </w:p>
    <w:p>
      <w:pPr>
        <w:pStyle w:val="Compact"/>
        <w:numPr>
          <w:ilvl w:val="0"/>
          <w:numId w:val="1008"/>
        </w:numPr>
      </w:pPr>
      <w:r>
        <w:t xml:space="preserve">provider error translation</w:t>
      </w:r>
    </w:p>
    <w:p>
      <w:pPr>
        <w:pStyle w:val="Compact"/>
        <w:numPr>
          <w:ilvl w:val="0"/>
          <w:numId w:val="1008"/>
        </w:numPr>
      </w:pPr>
      <w:r>
        <w:t xml:space="preserve">transport lifecycle</w:t>
      </w:r>
    </w:p>
    <w:p>
      <w:pPr>
        <w:pStyle w:val="Compact"/>
        <w:numPr>
          <w:ilvl w:val="0"/>
          <w:numId w:val="1008"/>
        </w:numPr>
      </w:pPr>
      <w:r>
        <w:t xml:space="preserve">technical connection state</w:t>
      </w:r>
    </w:p>
    <w:p>
      <w:pPr>
        <w:pStyle w:val="FirstParagraph"/>
      </w:pPr>
      <w:r>
        <w:t xml:space="preserve">Adapters shall not contain:</w:t>
      </w:r>
    </w:p>
    <w:p>
      <w:pPr>
        <w:pStyle w:val="Compact"/>
        <w:numPr>
          <w:ilvl w:val="0"/>
          <w:numId w:val="1009"/>
        </w:numPr>
      </w:pPr>
      <w:r>
        <w:t xml:space="preserve">trading decisions</w:t>
      </w:r>
    </w:p>
    <w:p>
      <w:pPr>
        <w:pStyle w:val="Compact"/>
        <w:numPr>
          <w:ilvl w:val="0"/>
          <w:numId w:val="1009"/>
        </w:numPr>
      </w:pPr>
      <w:r>
        <w:t xml:space="preserve">candidate acceptance rules</w:t>
      </w:r>
    </w:p>
    <w:p>
      <w:pPr>
        <w:pStyle w:val="Compact"/>
        <w:numPr>
          <w:ilvl w:val="0"/>
          <w:numId w:val="1009"/>
        </w:numPr>
      </w:pPr>
      <w:r>
        <w:t xml:space="preserve">portfolio risk decisions</w:t>
      </w:r>
    </w:p>
    <w:p>
      <w:pPr>
        <w:pStyle w:val="Compact"/>
        <w:numPr>
          <w:ilvl w:val="0"/>
          <w:numId w:val="1009"/>
        </w:numPr>
      </w:pPr>
      <w:r>
        <w:t xml:space="preserve">order submission decisions</w:t>
      </w:r>
    </w:p>
    <w:p>
      <w:pPr>
        <w:pStyle w:val="Compact"/>
        <w:numPr>
          <w:ilvl w:val="0"/>
          <w:numId w:val="1009"/>
        </w:numPr>
      </w:pPr>
      <w:r>
        <w:t xml:space="preserve">position close decisions</w:t>
      </w:r>
    </w:p>
    <w:p>
      <w:pPr>
        <w:pStyle w:val="FirstParagraph"/>
      </w:pPr>
      <w:r>
        <w:t xml:space="preserve">Adapters translate and execute technical operations.</w:t>
      </w:r>
    </w:p>
    <w:p>
      <w:r>
        <w:pict>
          <v:rect style="width:0;height:1.5pt" o:hralign="center" o:hrstd="t" o:hr="t"/>
        </w:pict>
      </w:r>
    </w:p>
    <w:bookmarkEnd w:id="17"/>
    <w:bookmarkStart w:id="18" w:name="naming"/>
    <w:p>
      <w:pPr>
        <w:pStyle w:val="Heading1"/>
      </w:pPr>
      <w:r>
        <w:t xml:space="preserve">Naming</w:t>
      </w:r>
    </w:p>
    <w:p>
      <w:pPr>
        <w:pStyle w:val="FirstParagraph"/>
      </w:pPr>
      <w:r>
        <w:t xml:space="preserve">Names shall communicate capability and responsibility.</w:t>
      </w:r>
    </w:p>
    <w:p>
      <w:pPr>
        <w:pStyle w:val="BodyText"/>
      </w:pPr>
      <w:r>
        <w:t xml:space="preserve">Classes:</w:t>
      </w:r>
    </w:p>
    <w:p>
      <w:pPr>
        <w:pStyle w:val="SourceCode"/>
      </w:pPr>
      <w:r>
        <w:rPr>
          <w:rStyle w:val="VerbatimChar"/>
        </w:rPr>
        <w:t xml:space="preserve">OrderApplicationService</w:t>
      </w:r>
      <w:r>
        <w:br/>
      </w:r>
      <w:r>
        <w:rPr>
          <w:rStyle w:val="VerbatimChar"/>
        </w:rPr>
        <w:t xml:space="preserve">TradingCandidateService</w:t>
      </w:r>
      <w:r>
        <w:br/>
      </w:r>
      <w:r>
        <w:rPr>
          <w:rStyle w:val="VerbatimChar"/>
        </w:rPr>
        <w:t xml:space="preserve">InteractiveBrokersOrderAdapter</w:t>
      </w:r>
    </w:p>
    <w:p>
      <w:pPr>
        <w:pStyle w:val="FirstParagraph"/>
      </w:pPr>
      <w:r>
        <w:t xml:space="preserve">Interfaces and ports:</w:t>
      </w:r>
    </w:p>
    <w:p>
      <w:pPr>
        <w:pStyle w:val="SourceCode"/>
      </w:pPr>
      <w:r>
        <w:rPr>
          <w:rStyle w:val="VerbatimChar"/>
        </w:rPr>
        <w:t xml:space="preserve">OrderRepository</w:t>
      </w:r>
      <w:r>
        <w:br/>
      </w:r>
      <w:r>
        <w:rPr>
          <w:rStyle w:val="VerbatimChar"/>
        </w:rPr>
        <w:t xml:space="preserve">BrokerOrderPort</w:t>
      </w:r>
      <w:r>
        <w:br/>
      </w:r>
      <w:r>
        <w:rPr>
          <w:rStyle w:val="VerbatimChar"/>
        </w:rPr>
        <w:t xml:space="preserve">MarketDataSubscriptionPort</w:t>
      </w:r>
    </w:p>
    <w:p>
      <w:pPr>
        <w:pStyle w:val="FirstParagraph"/>
      </w:pPr>
      <w:r>
        <w:t xml:space="preserve">Methods:</w:t>
      </w:r>
    </w:p>
    <w:p>
      <w:pPr>
        <w:pStyle w:val="SourceCode"/>
      </w:pPr>
      <w:r>
        <w:rPr>
          <w:rStyle w:val="VerbatimChar"/>
        </w:rPr>
        <w:t xml:space="preserve">get_order()</w:t>
      </w:r>
      <w:r>
        <w:br/>
      </w:r>
      <w:r>
        <w:rPr>
          <w:rStyle w:val="VerbatimChar"/>
        </w:rPr>
        <w:t xml:space="preserve">save_order()</w:t>
      </w:r>
      <w:r>
        <w:br/>
      </w:r>
      <w:r>
        <w:rPr>
          <w:rStyle w:val="VerbatimChar"/>
        </w:rPr>
        <w:t xml:space="preserve">submit_order()</w:t>
      </w:r>
      <w:r>
        <w:br/>
      </w:r>
      <w:r>
        <w:rPr>
          <w:rStyle w:val="VerbatimChar"/>
        </w:rPr>
        <w:t xml:space="preserve">cancel_order()</w:t>
      </w:r>
      <w:r>
        <w:br/>
      </w:r>
      <w:r>
        <w:rPr>
          <w:rStyle w:val="VerbatimChar"/>
        </w:rPr>
        <w:t xml:space="preserve">subscribe_quotes()</w:t>
      </w:r>
    </w:p>
    <w:p>
      <w:pPr>
        <w:pStyle w:val="FirstParagraph"/>
      </w:pPr>
      <w:r>
        <w:t xml:space="preserve">Avoid vague names such as:</w:t>
      </w:r>
    </w:p>
    <w:p>
      <w:pPr>
        <w:pStyle w:val="SourceCode"/>
      </w:pP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Processor</w:t>
      </w:r>
      <w:r>
        <w:br/>
      </w:r>
      <w:r>
        <w:rPr>
          <w:rStyle w:val="VerbatimChar"/>
        </w:rPr>
        <w:t xml:space="preserve">Helper</w:t>
      </w:r>
      <w:r>
        <w:br/>
      </w:r>
      <w:r>
        <w:rPr>
          <w:rStyle w:val="VerbatimChar"/>
        </w:rPr>
        <w:t xml:space="preserve">Utils</w:t>
      </w:r>
    </w:p>
    <w:p>
      <w:pPr>
        <w:pStyle w:val="FirstParagraph"/>
      </w:pPr>
      <w:r>
        <w:t xml:space="preserve">unless the specific responsibility is clearly defined by the complete name.</w:t>
      </w:r>
    </w:p>
    <w:p>
      <w:pPr>
        <w:pStyle w:val="BodyText"/>
      </w:pPr>
      <w:r>
        <w:t xml:space="preserve">Avoid unnecessary abbreviations.</w:t>
      </w:r>
    </w:p>
    <w:p>
      <w:r>
        <w:pict>
          <v:rect style="width:0;height:1.5pt" o:hralign="center" o:hrstd="t" o:hr="t"/>
        </w:pict>
      </w:r>
    </w:p>
    <w:bookmarkEnd w:id="18"/>
    <w:bookmarkStart w:id="19" w:name="method-design"/>
    <w:p>
      <w:pPr>
        <w:pStyle w:val="Heading1"/>
      </w:pPr>
      <w:r>
        <w:t xml:space="preserve">Method Design</w:t>
      </w:r>
    </w:p>
    <w:p>
      <w:pPr>
        <w:pStyle w:val="FirstParagraph"/>
      </w:pPr>
      <w:r>
        <w:t xml:space="preserve">Methods shall represent one clear operation.</w:t>
      </w:r>
    </w:p>
    <w:p>
      <w:pPr>
        <w:pStyle w:val="BodyText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async def submit_order(</w:t>
      </w:r>
      <w:r>
        <w:br/>
      </w:r>
      <w:r>
        <w:rPr>
          <w:rStyle w:val="VerbatimChar"/>
        </w:rPr>
        <w:t xml:space="preserve">    request: SubmitOrderRequest,</w:t>
      </w:r>
      <w:r>
        <w:br/>
      </w:r>
      <w:r>
        <w:rPr>
          <w:rStyle w:val="VerbatimChar"/>
        </w:rPr>
        <w:t xml:space="preserve">) -&gt; BrokerOrderSubmission:</w:t>
      </w:r>
      <w:r>
        <w:br/>
      </w:r>
      <w:r>
        <w:rPr>
          <w:rStyle w:val="VerbatimChar"/>
        </w:rPr>
        <w:t xml:space="preserve">    ...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async def process(</w:t>
      </w:r>
      <w:r>
        <w:br/>
      </w:r>
      <w:r>
        <w:rPr>
          <w:rStyle w:val="VerbatimChar"/>
        </w:rPr>
        <w:t xml:space="preserve">    data: dict,</w:t>
      </w:r>
      <w:r>
        <w:br/>
      </w:r>
      <w:r>
        <w:rPr>
          <w:rStyle w:val="VerbatimChar"/>
        </w:rPr>
        <w:t xml:space="preserve">    mode: str,</w:t>
      </w:r>
      <w:r>
        <w:br/>
      </w:r>
      <w:r>
        <w:rPr>
          <w:rStyle w:val="VerbatimChar"/>
        </w:rPr>
        <w:t xml:space="preserve">    options: dict,</w:t>
      </w:r>
      <w:r>
        <w:br/>
      </w:r>
      <w:r>
        <w:rPr>
          <w:rStyle w:val="VerbatimChar"/>
        </w:rPr>
        <w:t xml:space="preserve">) -&gt; object:</w:t>
      </w:r>
      <w:r>
        <w:br/>
      </w:r>
      <w:r>
        <w:rPr>
          <w:rStyle w:val="VerbatimChar"/>
        </w:rPr>
        <w:t xml:space="preserve">    ...</w:t>
      </w:r>
    </w:p>
    <w:p>
      <w:pPr>
        <w:pStyle w:val="FirstParagraph"/>
      </w:pPr>
      <w:r>
        <w:t xml:space="preserve">Method behaviour shall remain understandable from:</w:t>
      </w:r>
    </w:p>
    <w:p>
      <w:pPr>
        <w:pStyle w:val="Compact"/>
        <w:numPr>
          <w:ilvl w:val="0"/>
          <w:numId w:val="1010"/>
        </w:numPr>
      </w:pPr>
      <w:r>
        <w:t xml:space="preserve">name</w:t>
      </w:r>
    </w:p>
    <w:p>
      <w:pPr>
        <w:pStyle w:val="Compact"/>
        <w:numPr>
          <w:ilvl w:val="0"/>
          <w:numId w:val="1010"/>
        </w:numPr>
      </w:pPr>
      <w:r>
        <w:t xml:space="preserve">parameter types</w:t>
      </w:r>
    </w:p>
    <w:p>
      <w:pPr>
        <w:pStyle w:val="Compact"/>
        <w:numPr>
          <w:ilvl w:val="0"/>
          <w:numId w:val="1010"/>
        </w:numPr>
      </w:pPr>
      <w:r>
        <w:t xml:space="preserve">return type</w:t>
      </w:r>
    </w:p>
    <w:p>
      <w:pPr>
        <w:pStyle w:val="Compact"/>
        <w:numPr>
          <w:ilvl w:val="0"/>
          <w:numId w:val="1010"/>
        </w:numPr>
      </w:pPr>
      <w:r>
        <w:t xml:space="preserve">documented failure behaviour</w:t>
      </w:r>
    </w:p>
    <w:p>
      <w:r>
        <w:pict>
          <v:rect style="width:0;height:1.5pt" o:hralign="center" o:hrstd="t" o:hr="t"/>
        </w:pict>
      </w:r>
    </w:p>
    <w:bookmarkEnd w:id="19"/>
    <w:bookmarkStart w:id="20" w:name="parameters"/>
    <w:p>
      <w:pPr>
        <w:pStyle w:val="Heading1"/>
      </w:pPr>
      <w:r>
        <w:t xml:space="preserve">Parameters</w:t>
      </w:r>
    </w:p>
    <w:p>
      <w:pPr>
        <w:pStyle w:val="FirstParagraph"/>
      </w:pPr>
      <w:r>
        <w:t xml:space="preserve">Parameters shall be explicit and strongly typed.</w:t>
      </w:r>
    </w:p>
    <w:p>
      <w:pPr>
        <w:pStyle w:val="BodyText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create_order(command: CreateOrderCommand) -&gt; OrderId</w:t>
      </w:r>
    </w:p>
    <w:p>
      <w:pPr>
        <w:pStyle w:val="FirstParagraph"/>
      </w:pPr>
      <w:r>
        <w:t xml:space="preserve">Avoid long parameter lists.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11"/>
        </w:numPr>
      </w:pPr>
      <w:r>
        <w:t xml:space="preserve">Value Objects</w:t>
      </w:r>
    </w:p>
    <w:p>
      <w:pPr>
        <w:pStyle w:val="Compact"/>
        <w:numPr>
          <w:ilvl w:val="0"/>
          <w:numId w:val="1011"/>
        </w:numPr>
      </w:pPr>
      <w:r>
        <w:t xml:space="preserve">Commands</w:t>
      </w:r>
    </w:p>
    <w:p>
      <w:pPr>
        <w:pStyle w:val="Compact"/>
        <w:numPr>
          <w:ilvl w:val="0"/>
          <w:numId w:val="1011"/>
        </w:numPr>
      </w:pPr>
      <w:r>
        <w:t xml:space="preserve">Queries</w:t>
      </w:r>
    </w:p>
    <w:p>
      <w:pPr>
        <w:pStyle w:val="Compact"/>
        <w:numPr>
          <w:ilvl w:val="0"/>
          <w:numId w:val="1011"/>
        </w:numPr>
      </w:pPr>
      <w:r>
        <w:t xml:space="preserve">DTOs</w:t>
      </w:r>
    </w:p>
    <w:p>
      <w:pPr>
        <w:pStyle w:val="Compact"/>
        <w:numPr>
          <w:ilvl w:val="0"/>
          <w:numId w:val="1011"/>
        </w:numPr>
      </w:pPr>
      <w:r>
        <w:t xml:space="preserve">Request Models</w:t>
      </w:r>
    </w:p>
    <w:p>
      <w:pPr>
        <w:pStyle w:val="FirstParagraph"/>
      </w:pPr>
      <w:r>
        <w:t xml:space="preserve">where they clarify interface boundaries.</w:t>
      </w:r>
    </w:p>
    <w:p>
      <w:pPr>
        <w:pStyle w:val="BodyText"/>
      </w:pPr>
      <w:r>
        <w:t xml:space="preserve">Do not use generic dictionaries as primary API contracts when a stable structure is known.</w:t>
      </w:r>
    </w:p>
    <w:p>
      <w:pPr>
        <w:pStyle w:val="BodyText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submit_order(data: dict) -&gt; dict</w:t>
      </w:r>
    </w:p>
    <w:p>
      <w:r>
        <w:pict>
          <v:rect style="width:0;height:1.5pt" o:hralign="center" o:hrstd="t" o:hr="t"/>
        </w:pict>
      </w:r>
    </w:p>
    <w:bookmarkEnd w:id="20"/>
    <w:bookmarkStart w:id="21" w:name="return-values"/>
    <w:p>
      <w:pPr>
        <w:pStyle w:val="Heading1"/>
      </w:pPr>
      <w:r>
        <w:t xml:space="preserve">Return Values</w:t>
      </w:r>
    </w:p>
    <w:p>
      <w:pPr>
        <w:pStyle w:val="FirstParagraph"/>
      </w:pPr>
      <w:r>
        <w:t xml:space="preserve">Return values shall communicate meaningful operation results.</w:t>
      </w:r>
    </w:p>
    <w:p>
      <w:pPr>
        <w:pStyle w:val="BodyText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OrderId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BrokerOrderSubmission</w:t>
      </w:r>
      <w:r>
        <w:br/>
      </w:r>
      <w:r>
        <w:rPr>
          <w:rStyle w:val="VerbatimChar"/>
        </w:rPr>
        <w:t xml:space="preserve">QuoteSubscription</w:t>
      </w:r>
      <w:r>
        <w:br/>
      </w:r>
      <w:r>
        <w:rPr>
          <w:rStyle w:val="VerbatimChar"/>
        </w:rPr>
        <w:t xml:space="preserve">ReconciliationResult</w:t>
      </w:r>
    </w:p>
    <w:p>
      <w:pPr>
        <w:pStyle w:val="FirstParagraph"/>
      </w:pPr>
      <w:r>
        <w:t xml:space="preserve">Avoid ambiguous primitive results such as:</w:t>
      </w:r>
    </w:p>
    <w:p>
      <w:pPr>
        <w:pStyle w:val="SourceCode"/>
      </w:pP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None</w:t>
      </w:r>
    </w:p>
    <w:p>
      <w:pPr>
        <w:pStyle w:val="FirstParagraph"/>
      </w:pPr>
      <w:r>
        <w:t xml:space="preserve">when richer operation state is required.</w:t>
      </w:r>
    </w:p>
    <w:p>
      <w:pPr>
        <w:pStyle w:val="BodyText"/>
      </w:pPr>
      <w:r>
        <w:t xml:space="preserve">A successful method return shall not imply external acknowledgement unless the returned type explicitly represents acknowledgement.</w:t>
      </w:r>
    </w:p>
    <w:p>
      <w:r>
        <w:pict>
          <v:rect style="width:0;height:1.5pt" o:hralign="center" o:hrstd="t" o:hr="t"/>
        </w:pict>
      </w:r>
    </w:p>
    <w:bookmarkEnd w:id="21"/>
    <w:bookmarkStart w:id="22" w:name="domain-types"/>
    <w:p>
      <w:pPr>
        <w:pStyle w:val="Heading1"/>
      </w:pPr>
      <w:r>
        <w:t xml:space="preserve">Domain Types</w:t>
      </w:r>
    </w:p>
    <w:p>
      <w:pPr>
        <w:pStyle w:val="FirstParagraph"/>
      </w:pPr>
      <w:r>
        <w:t xml:space="preserve">Domain interfaces shall use Domain types.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InstrumentId</w:t>
      </w:r>
    </w:p>
    <w:p>
      <w:pPr>
        <w:pStyle w:val="Compact"/>
        <w:numPr>
          <w:ilvl w:val="0"/>
          <w:numId w:val="1012"/>
        </w:numPr>
      </w:pPr>
      <w:r>
        <w:t xml:space="preserve">OrderId</w:t>
      </w:r>
    </w:p>
    <w:p>
      <w:pPr>
        <w:pStyle w:val="Compact"/>
        <w:numPr>
          <w:ilvl w:val="0"/>
          <w:numId w:val="1012"/>
        </w:numPr>
      </w:pPr>
      <w:r>
        <w:t xml:space="preserve">PositionId</w:t>
      </w:r>
    </w:p>
    <w:p>
      <w:pPr>
        <w:pStyle w:val="Compact"/>
        <w:numPr>
          <w:ilvl w:val="0"/>
          <w:numId w:val="1012"/>
        </w:numPr>
      </w:pPr>
      <w:r>
        <w:t xml:space="preserve">Money</w:t>
      </w:r>
    </w:p>
    <w:p>
      <w:pPr>
        <w:pStyle w:val="Compact"/>
        <w:numPr>
          <w:ilvl w:val="0"/>
          <w:numId w:val="1012"/>
        </w:numPr>
      </w:pPr>
      <w:r>
        <w:t xml:space="preserve">Price</w:t>
      </w:r>
    </w:p>
    <w:p>
      <w:pPr>
        <w:pStyle w:val="Compact"/>
        <w:numPr>
          <w:ilvl w:val="0"/>
          <w:numId w:val="1012"/>
        </w:numPr>
      </w:pPr>
      <w:r>
        <w:t xml:space="preserve">Quantity</w:t>
      </w:r>
    </w:p>
    <w:p>
      <w:pPr>
        <w:pStyle w:val="FirstParagraph"/>
      </w:pPr>
      <w:r>
        <w:t xml:space="preserve">Domain types shall not contain:</w:t>
      </w:r>
    </w:p>
    <w:p>
      <w:pPr>
        <w:pStyle w:val="Compact"/>
        <w:numPr>
          <w:ilvl w:val="0"/>
          <w:numId w:val="1013"/>
        </w:numPr>
      </w:pPr>
      <w:r>
        <w:t xml:space="preserve">SQLAlchemy models</w:t>
      </w:r>
    </w:p>
    <w:p>
      <w:pPr>
        <w:pStyle w:val="Compact"/>
        <w:numPr>
          <w:ilvl w:val="0"/>
          <w:numId w:val="1013"/>
        </w:numPr>
      </w:pPr>
      <w:r>
        <w:t xml:space="preserve">broker models</w:t>
      </w:r>
    </w:p>
    <w:p>
      <w:pPr>
        <w:pStyle w:val="Compact"/>
        <w:numPr>
          <w:ilvl w:val="0"/>
          <w:numId w:val="1013"/>
        </w:numPr>
      </w:pPr>
      <w:r>
        <w:t xml:space="preserve">provider payloads</w:t>
      </w:r>
    </w:p>
    <w:p>
      <w:pPr>
        <w:pStyle w:val="Compact"/>
        <w:numPr>
          <w:ilvl w:val="0"/>
          <w:numId w:val="1013"/>
        </w:numPr>
      </w:pPr>
      <w:r>
        <w:t xml:space="preserve">PySide6 types</w:t>
      </w:r>
    </w:p>
    <w:p>
      <w:pPr>
        <w:pStyle w:val="Compact"/>
        <w:numPr>
          <w:ilvl w:val="0"/>
          <w:numId w:val="1013"/>
        </w:numPr>
      </w:pPr>
      <w:r>
        <w:t xml:space="preserve">transport schemas</w:t>
      </w:r>
    </w:p>
    <w:p>
      <w:pPr>
        <w:pStyle w:val="FirstParagraph"/>
      </w:pPr>
      <w:r>
        <w:t xml:space="preserve">Domain APIs shall remain technology-independent.</w:t>
      </w:r>
    </w:p>
    <w:p>
      <w:r>
        <w:pict>
          <v:rect style="width:0;height:1.5pt" o:hralign="center" o:hrstd="t" o:hr="t"/>
        </w:pict>
      </w:r>
    </w:p>
    <w:bookmarkEnd w:id="22"/>
    <w:bookmarkStart w:id="23" w:name="application-dtos"/>
    <w:p>
      <w:pPr>
        <w:pStyle w:val="Heading1"/>
      </w:pPr>
      <w:r>
        <w:t xml:space="preserve">Application DTOs</w:t>
      </w:r>
    </w:p>
    <w:p>
      <w:pPr>
        <w:pStyle w:val="FirstParagraph"/>
      </w:pPr>
      <w:r>
        <w:t xml:space="preserve">Application DTOs may be used to transfer structured data across application boundaries.</w:t>
      </w:r>
    </w:p>
    <w:p>
      <w:pPr>
        <w:pStyle w:val="BodyText"/>
      </w:pPr>
      <w:r>
        <w:t xml:space="preserve">DTOs shall:</w:t>
      </w:r>
    </w:p>
    <w:p>
      <w:pPr>
        <w:pStyle w:val="Compact"/>
        <w:numPr>
          <w:ilvl w:val="0"/>
          <w:numId w:val="1014"/>
        </w:numPr>
      </w:pPr>
      <w:r>
        <w:t xml:space="preserve">have explicit fields</w:t>
      </w:r>
    </w:p>
    <w:p>
      <w:pPr>
        <w:pStyle w:val="Compact"/>
        <w:numPr>
          <w:ilvl w:val="0"/>
          <w:numId w:val="1014"/>
        </w:numPr>
      </w:pPr>
      <w:r>
        <w:t xml:space="preserve">be strongly typed</w:t>
      </w:r>
    </w:p>
    <w:p>
      <w:pPr>
        <w:pStyle w:val="Compact"/>
        <w:numPr>
          <w:ilvl w:val="0"/>
          <w:numId w:val="1014"/>
        </w:numPr>
      </w:pPr>
      <w:r>
        <w:t xml:space="preserve">remain free of provider-specific transport behaviour</w:t>
      </w:r>
    </w:p>
    <w:p>
      <w:pPr>
        <w:pStyle w:val="Compact"/>
        <w:numPr>
          <w:ilvl w:val="0"/>
          <w:numId w:val="1014"/>
        </w:numPr>
      </w:pPr>
      <w:r>
        <w:t xml:space="preserve">represent application requirements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@dataclass(frozen=True)</w:t>
      </w:r>
      <w:r>
        <w:br/>
      </w:r>
      <w:r>
        <w:rPr>
          <w:rStyle w:val="VerbatimChar"/>
        </w:rPr>
        <w:t xml:space="preserve">class SubmitOrderRequest:</w:t>
      </w:r>
      <w:r>
        <w:br/>
      </w:r>
      <w:r>
        <w:rPr>
          <w:rStyle w:val="VerbatimChar"/>
        </w:rPr>
        <w:t xml:space="preserve">    order_id: OrderId</w:t>
      </w:r>
      <w:r>
        <w:br/>
      </w:r>
      <w:r>
        <w:rPr>
          <w:rStyle w:val="VerbatimChar"/>
        </w:rPr>
        <w:t xml:space="preserve">    instrument_id: InstrumentId</w:t>
      </w:r>
      <w:r>
        <w:br/>
      </w:r>
      <w:r>
        <w:rPr>
          <w:rStyle w:val="VerbatimChar"/>
        </w:rPr>
        <w:t xml:space="preserve">    action: OrderAction</w:t>
      </w:r>
      <w:r>
        <w:br/>
      </w:r>
      <w:r>
        <w:rPr>
          <w:rStyle w:val="VerbatimChar"/>
        </w:rPr>
        <w:t xml:space="preserve">    quantity: Quantity</w:t>
      </w:r>
      <w:r>
        <w:br/>
      </w:r>
      <w:r>
        <w:rPr>
          <w:rStyle w:val="VerbatimChar"/>
        </w:rPr>
        <w:t xml:space="preserve">    order_type: OrderType</w:t>
      </w:r>
      <w:r>
        <w:br/>
      </w:r>
      <w:r>
        <w:rPr>
          <w:rStyle w:val="VerbatimChar"/>
        </w:rPr>
        <w:t xml:space="preserve">    limit_price: Price | None</w:t>
      </w:r>
    </w:p>
    <w:p>
      <w:pPr>
        <w:pStyle w:val="FirstParagraph"/>
      </w:pPr>
      <w:r>
        <w:t xml:space="preserve">DTOs are not automatically Domain Entities.</w:t>
      </w:r>
    </w:p>
    <w:p>
      <w:r>
        <w:pict>
          <v:rect style="width:0;height:1.5pt" o:hralign="center" o:hrstd="t" o:hr="t"/>
        </w:pict>
      </w:r>
    </w:p>
    <w:bookmarkEnd w:id="23"/>
    <w:bookmarkStart w:id="24" w:name="provider-models"/>
    <w:p>
      <w:pPr>
        <w:pStyle w:val="Heading1"/>
      </w:pPr>
      <w:r>
        <w:t xml:space="preserve">Provider Models</w:t>
      </w:r>
    </w:p>
    <w:p>
      <w:pPr>
        <w:pStyle w:val="FirstParagraph"/>
      </w:pPr>
      <w:r>
        <w:t xml:space="preserve">Provider-specific models belong to Infrastructure.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IbContract</w:t>
      </w:r>
      <w:r>
        <w:br/>
      </w:r>
      <w:r>
        <w:rPr>
          <w:rStyle w:val="VerbatimChar"/>
        </w:rPr>
        <w:t xml:space="preserve">IbOrder</w:t>
      </w:r>
      <w:r>
        <w:br/>
      </w:r>
      <w:r>
        <w:rPr>
          <w:rStyle w:val="VerbatimChar"/>
        </w:rPr>
        <w:t xml:space="preserve">ProviderQuoteMessage</w:t>
      </w:r>
    </w:p>
    <w:p>
      <w:pPr>
        <w:pStyle w:val="FirstParagraph"/>
      </w:pPr>
      <w:r>
        <w:t xml:space="preserve">Provider models shall not cross into Domain APIs.</w:t>
      </w:r>
    </w:p>
    <w:p>
      <w:pPr>
        <w:pStyle w:val="BodyText"/>
      </w:pPr>
      <w:r>
        <w:t xml:space="preserve">Adapters shall translate provider models into application-oriented or domain-oriented structures.</w:t>
      </w:r>
    </w:p>
    <w:p>
      <w:pPr>
        <w:pStyle w:val="BodyText"/>
      </w:pPr>
      <w:r>
        <w:t xml:space="preserve">Avoid leaking vendor identifiers into business interfaces unless the integration workflow explicitly requires them.</w:t>
      </w:r>
    </w:p>
    <w:p>
      <w:r>
        <w:pict>
          <v:rect style="width:0;height:1.5pt" o:hralign="center" o:hrstd="t" o:hr="t"/>
        </w:pict>
      </w:r>
    </w:p>
    <w:bookmarkEnd w:id="24"/>
    <w:bookmarkStart w:id="25" w:name="persistence-models"/>
    <w:p>
      <w:pPr>
        <w:pStyle w:val="Heading1"/>
      </w:pPr>
      <w:r>
        <w:t xml:space="preserve">Persistence Models</w:t>
      </w:r>
    </w:p>
    <w:p>
      <w:pPr>
        <w:pStyle w:val="FirstParagraph"/>
      </w:pPr>
      <w:r>
        <w:t xml:space="preserve">Persistence models belong to Infrastructure.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OrderRecord</w:t>
      </w:r>
      <w:r>
        <w:br/>
      </w:r>
      <w:r>
        <w:rPr>
          <w:rStyle w:val="VerbatimChar"/>
        </w:rPr>
        <w:t xml:space="preserve">PositionRecord</w:t>
      </w:r>
      <w:r>
        <w:br/>
      </w:r>
      <w:r>
        <w:rPr>
          <w:rStyle w:val="VerbatimChar"/>
        </w:rPr>
        <w:t xml:space="preserve">SqlAlchemyOrderModel</w:t>
      </w:r>
    </w:p>
    <w:p>
      <w:pPr>
        <w:pStyle w:val="FirstParagraph"/>
      </w:pPr>
      <w:r>
        <w:t xml:space="preserve">Repository interfaces shall not expose SQLAlchemy models.</w:t>
      </w:r>
    </w:p>
    <w:p>
      <w:pPr>
        <w:pStyle w:val="BodyText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def get(self, order_id: OrderId) -&gt; Order | None:</w:t>
      </w:r>
      <w:r>
        <w:br/>
      </w:r>
      <w:r>
        <w:rPr>
          <w:rStyle w:val="VerbatimChar"/>
        </w:rPr>
        <w:t xml:space="preserve">    ...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def get(self, order_id: str) -&gt; SqlAlchemyOrderModel | None:</w:t>
      </w:r>
      <w:r>
        <w:br/>
      </w:r>
      <w:r>
        <w:rPr>
          <w:rStyle w:val="VerbatimChar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25"/>
    <w:bookmarkStart w:id="26" w:name="async-interfaces"/>
    <w:p>
      <w:pPr>
        <w:pStyle w:val="Heading1"/>
      </w:pPr>
      <w:r>
        <w:t xml:space="preserve">Async Interfaces</w:t>
      </w:r>
    </w:p>
    <w:p>
      <w:pPr>
        <w:pStyle w:val="FirstParagraph"/>
      </w:pPr>
      <w:r>
        <w:t xml:space="preserve">Interfaces shall be asynchronous when the underlying operation is inherently asynchronous or externally coordinated.</w:t>
      </w:r>
    </w:p>
    <w:p>
      <w:pPr>
        <w:pStyle w:val="BodyText"/>
      </w:pPr>
      <w:r>
        <w:t xml:space="preserve">Typical asynchronous operations include:</w:t>
      </w:r>
    </w:p>
    <w:p>
      <w:pPr>
        <w:pStyle w:val="Compact"/>
        <w:numPr>
          <w:ilvl w:val="0"/>
          <w:numId w:val="1015"/>
        </w:numPr>
      </w:pPr>
      <w:r>
        <w:t xml:space="preserve">broker communication</w:t>
      </w:r>
    </w:p>
    <w:p>
      <w:pPr>
        <w:pStyle w:val="Compact"/>
        <w:numPr>
          <w:ilvl w:val="0"/>
          <w:numId w:val="1015"/>
        </w:numPr>
      </w:pPr>
      <w:r>
        <w:t xml:space="preserve">market data subscriptions</w:t>
      </w:r>
    </w:p>
    <w:p>
      <w:pPr>
        <w:pStyle w:val="Compact"/>
        <w:numPr>
          <w:ilvl w:val="0"/>
          <w:numId w:val="1015"/>
        </w:numPr>
      </w:pPr>
      <w:r>
        <w:t xml:space="preserve">external API calls</w:t>
      </w:r>
    </w:p>
    <w:p>
      <w:pPr>
        <w:pStyle w:val="Compact"/>
        <w:numPr>
          <w:ilvl w:val="0"/>
          <w:numId w:val="1015"/>
        </w:numPr>
      </w:pPr>
      <w:r>
        <w:t xml:space="preserve">asynchronous messaging</w:t>
      </w:r>
    </w:p>
    <w:p>
      <w:pPr>
        <w:pStyle w:val="Compact"/>
        <w:numPr>
          <w:ilvl w:val="0"/>
          <w:numId w:val="1015"/>
        </w:numPr>
      </w:pPr>
      <w:r>
        <w:t xml:space="preserve">long-running runtime operations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async def submit_order(</w:t>
      </w:r>
      <w:r>
        <w:br/>
      </w:r>
      <w:r>
        <w:rPr>
          <w:rStyle w:val="VerbatimChar"/>
        </w:rPr>
        <w:t xml:space="preserve">    request: SubmitOrderRequest,</w:t>
      </w:r>
      <w:r>
        <w:br/>
      </w:r>
      <w:r>
        <w:rPr>
          <w:rStyle w:val="VerbatimChar"/>
        </w:rPr>
        <w:t xml:space="preserve">) -&gt; BrokerOrderSubmission:</w:t>
      </w:r>
      <w:r>
        <w:br/>
      </w:r>
      <w:r>
        <w:rPr>
          <w:rStyle w:val="VerbatimChar"/>
        </w:rPr>
        <w:t xml:space="preserve">    ...</w:t>
      </w:r>
    </w:p>
    <w:p>
      <w:pPr>
        <w:pStyle w:val="FirstParagraph"/>
      </w:pPr>
      <w:r>
        <w:t xml:space="preserve">Do not mark interfaces asynchronous without an actual asynchronous boundary.</w:t>
      </w:r>
    </w:p>
    <w:p>
      <w:pPr>
        <w:pStyle w:val="BodyText"/>
      </w:pPr>
      <w:r>
        <w:t xml:space="preserve">Async behaviour shall remain explicit to callers.</w:t>
      </w:r>
    </w:p>
    <w:p>
      <w:r>
        <w:pict>
          <v:rect style="width:0;height:1.5pt" o:hralign="center" o:hrstd="t" o:hr="t"/>
        </w:pict>
      </w:r>
    </w:p>
    <w:bookmarkEnd w:id="26"/>
    <w:bookmarkStart w:id="27" w:name="cancellation"/>
    <w:p>
      <w:pPr>
        <w:pStyle w:val="Heading1"/>
      </w:pPr>
      <w:r>
        <w:t xml:space="preserve">Cancellation</w:t>
      </w:r>
    </w:p>
    <w:p>
      <w:pPr>
        <w:pStyle w:val="FirstParagraph"/>
      </w:pPr>
      <w:r>
        <w:t xml:space="preserve">Long-running asynchronous interfaces shall support controlled cancellation where technically appropriate.</w:t>
      </w:r>
    </w:p>
    <w:p>
      <w:pPr>
        <w:pStyle w:val="BodyText"/>
      </w:pPr>
      <w:r>
        <w:t xml:space="preserve">Cancellation shall:</w:t>
      </w:r>
    </w:p>
    <w:p>
      <w:pPr>
        <w:pStyle w:val="Compact"/>
        <w:numPr>
          <w:ilvl w:val="0"/>
          <w:numId w:val="1016"/>
        </w:numPr>
      </w:pPr>
      <w:r>
        <w:t xml:space="preserve">release owned resources</w:t>
      </w:r>
    </w:p>
    <w:p>
      <w:pPr>
        <w:pStyle w:val="Compact"/>
        <w:numPr>
          <w:ilvl w:val="0"/>
          <w:numId w:val="1016"/>
        </w:numPr>
      </w:pPr>
      <w:r>
        <w:t xml:space="preserve">preserve valid local state</w:t>
      </w:r>
    </w:p>
    <w:p>
      <w:pPr>
        <w:pStyle w:val="Compact"/>
        <w:numPr>
          <w:ilvl w:val="0"/>
          <w:numId w:val="1016"/>
        </w:numPr>
      </w:pPr>
      <w:r>
        <w:t xml:space="preserve">avoid uncontrolled external side effects</w:t>
      </w:r>
    </w:p>
    <w:p>
      <w:pPr>
        <w:pStyle w:val="Compact"/>
        <w:numPr>
          <w:ilvl w:val="0"/>
          <w:numId w:val="1016"/>
        </w:numPr>
      </w:pPr>
      <w:r>
        <w:t xml:space="preserve">remain distinguishable from external rejection</w:t>
      </w:r>
    </w:p>
    <w:p>
      <w:pPr>
        <w:pStyle w:val="FirstParagraph"/>
      </w:pPr>
      <w:r>
        <w:t xml:space="preserve">Cancellation behaviour shall be tested for business-critical operations.</w:t>
      </w:r>
    </w:p>
    <w:p>
      <w:r>
        <w:pict>
          <v:rect style="width:0;height:1.5pt" o:hralign="center" o:hrstd="t" o:hr="t"/>
        </w:pict>
      </w:r>
    </w:p>
    <w:bookmarkEnd w:id="27"/>
    <w:bookmarkStart w:id="28" w:name="timeout-behaviour"/>
    <w:p>
      <w:pPr>
        <w:pStyle w:val="Heading1"/>
      </w:pPr>
      <w:r>
        <w:t xml:space="preserve">Timeout Behaviour</w:t>
      </w:r>
    </w:p>
    <w:p>
      <w:pPr>
        <w:pStyle w:val="FirstParagraph"/>
      </w:pPr>
      <w:r>
        <w:t xml:space="preserve">External operations shall have defined timeout behaviour where technically appropriate.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7"/>
        </w:numPr>
      </w:pPr>
      <w:r>
        <w:t xml:space="preserve">broker requests</w:t>
      </w:r>
    </w:p>
    <w:p>
      <w:pPr>
        <w:pStyle w:val="Compact"/>
        <w:numPr>
          <w:ilvl w:val="0"/>
          <w:numId w:val="1017"/>
        </w:numPr>
      </w:pPr>
      <w:r>
        <w:t xml:space="preserve">market data requests</w:t>
      </w:r>
    </w:p>
    <w:p>
      <w:pPr>
        <w:pStyle w:val="Compact"/>
        <w:numPr>
          <w:ilvl w:val="0"/>
          <w:numId w:val="1017"/>
        </w:numPr>
      </w:pPr>
      <w:r>
        <w:t xml:space="preserve">external APIs</w:t>
      </w:r>
    </w:p>
    <w:p>
      <w:pPr>
        <w:pStyle w:val="FirstParagraph"/>
      </w:pPr>
      <w:r>
        <w:t xml:space="preserve">Timeouts shall remain distinguishable from:</w:t>
      </w:r>
    </w:p>
    <w:p>
      <w:pPr>
        <w:pStyle w:val="Compact"/>
        <w:numPr>
          <w:ilvl w:val="0"/>
          <w:numId w:val="1018"/>
        </w:numPr>
      </w:pPr>
      <w:r>
        <w:t xml:space="preserve">explicit rejection</w:t>
      </w:r>
    </w:p>
    <w:p>
      <w:pPr>
        <w:pStyle w:val="Compact"/>
        <w:numPr>
          <w:ilvl w:val="0"/>
          <w:numId w:val="1018"/>
        </w:numPr>
      </w:pPr>
      <w:r>
        <w:t xml:space="preserve">invalid input</w:t>
      </w:r>
    </w:p>
    <w:p>
      <w:pPr>
        <w:pStyle w:val="Compact"/>
        <w:numPr>
          <w:ilvl w:val="0"/>
          <w:numId w:val="1018"/>
        </w:numPr>
      </w:pPr>
      <w:r>
        <w:t xml:space="preserve">disconnected state</w:t>
      </w:r>
    </w:p>
    <w:p>
      <w:pPr>
        <w:pStyle w:val="Compact"/>
        <w:numPr>
          <w:ilvl w:val="0"/>
          <w:numId w:val="1018"/>
        </w:numPr>
      </w:pPr>
      <w:r>
        <w:t xml:space="preserve">unavailable capability</w:t>
      </w:r>
    </w:p>
    <w:p>
      <w:pPr>
        <w:pStyle w:val="FirstParagraph"/>
      </w:pPr>
      <w:r>
        <w:t xml:space="preserve">Timeout behaviour shall be documented for critical interfaces.</w:t>
      </w:r>
    </w:p>
    <w:p>
      <w:r>
        <w:pict>
          <v:rect style="width:0;height:1.5pt" o:hralign="center" o:hrstd="t" o:hr="t"/>
        </w:pict>
      </w:r>
    </w:p>
    <w:bookmarkEnd w:id="28"/>
    <w:bookmarkStart w:id="29" w:name="exceptions"/>
    <w:p>
      <w:pPr>
        <w:pStyle w:val="Heading1"/>
      </w:pPr>
      <w:r>
        <w:t xml:space="preserve">Exceptions</w:t>
      </w:r>
    </w:p>
    <w:p>
      <w:pPr>
        <w:pStyle w:val="FirstParagraph"/>
      </w:pPr>
      <w:r>
        <w:t xml:space="preserve">APIs shall fail explicitly.</w:t>
      </w:r>
    </w:p>
    <w:p>
      <w:pPr>
        <w:pStyle w:val="BodyText"/>
      </w:pPr>
      <w:r>
        <w:t xml:space="preserve">Expected failures shall use meaningful exception types or explicit result states.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BrokerDisconnectedError</w:t>
      </w:r>
      <w:r>
        <w:br/>
      </w:r>
      <w:r>
        <w:rPr>
          <w:rStyle w:val="VerbatimChar"/>
        </w:rPr>
        <w:t xml:space="preserve">BrokerOrderRejectedError</w:t>
      </w:r>
      <w:r>
        <w:br/>
      </w:r>
      <w:r>
        <w:rPr>
          <w:rStyle w:val="VerbatimChar"/>
        </w:rPr>
        <w:t xml:space="preserve">MarketDataUnavailableError</w:t>
      </w:r>
      <w:r>
        <w:br/>
      </w:r>
      <w:r>
        <w:rPr>
          <w:rStyle w:val="VerbatimChar"/>
        </w:rPr>
        <w:t xml:space="preserve">RepositoryError</w:t>
      </w:r>
    </w:p>
    <w:p>
      <w:pPr>
        <w:pStyle w:val="FirstParagraph"/>
      </w:pPr>
      <w:r>
        <w:t xml:space="preserve">Domain rule violations shall use Domain Exceptions.</w:t>
      </w:r>
    </w:p>
    <w:p>
      <w:pPr>
        <w:pStyle w:val="BodyText"/>
      </w:pPr>
      <w:r>
        <w:t xml:space="preserve">Infrastructure failures shall not be disguised as Domain Exceptions.</w:t>
      </w:r>
    </w:p>
    <w:p>
      <w:pPr>
        <w:pStyle w:val="BodyText"/>
      </w:pPr>
      <w:r>
        <w:t xml:space="preserve">Avoid silently returning empty data after technical failure.</w:t>
      </w:r>
    </w:p>
    <w:p>
      <w:r>
        <w:pict>
          <v:rect style="width:0;height:1.5pt" o:hralign="center" o:hrstd="t" o:hr="t"/>
        </w:pict>
      </w:r>
    </w:p>
    <w:bookmarkEnd w:id="29"/>
    <w:bookmarkStart w:id="30" w:name="error-translation"/>
    <w:p>
      <w:pPr>
        <w:pStyle w:val="Heading1"/>
      </w:pPr>
      <w:r>
        <w:t xml:space="preserve">Error Translation</w:t>
      </w:r>
    </w:p>
    <w:p>
      <w:pPr>
        <w:pStyle w:val="FirstParagraph"/>
      </w:pPr>
      <w:r>
        <w:t xml:space="preserve">Adapters shall translate provider-specific errors at the integration boundary.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IB API Error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InteractiveBrokersAdapter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BrokerOrderRejectedError</w:t>
      </w:r>
    </w:p>
    <w:p>
      <w:pPr>
        <w:pStyle w:val="FirstParagraph"/>
      </w:pPr>
      <w:r>
        <w:t xml:space="preserve">Provider error context may be preserved for logging and diagnostics.</w:t>
      </w:r>
    </w:p>
    <w:p>
      <w:pPr>
        <w:pStyle w:val="BodyText"/>
      </w:pPr>
      <w:r>
        <w:t xml:space="preserve">Provider-specific error types shall not leak through application-facing ports unless explicitly required.</w:t>
      </w:r>
    </w:p>
    <w:p>
      <w:r>
        <w:pict>
          <v:rect style="width:0;height:1.5pt" o:hralign="center" o:hrstd="t" o:hr="t"/>
        </w:pict>
      </w:r>
    </w:p>
    <w:bookmarkEnd w:id="30"/>
    <w:bookmarkStart w:id="31" w:name="order-submission-interfaces"/>
    <w:p>
      <w:pPr>
        <w:pStyle w:val="Heading1"/>
      </w:pPr>
      <w:r>
        <w:t xml:space="preserve">Order Submission Interfaces</w:t>
      </w:r>
    </w:p>
    <w:p>
      <w:pPr>
        <w:pStyle w:val="FirstParagraph"/>
      </w:pPr>
      <w:r>
        <w:t xml:space="preserve">Order submission is business-critical.</w:t>
      </w:r>
    </w:p>
    <w:p>
      <w:pPr>
        <w:pStyle w:val="BodyText"/>
      </w:pPr>
      <w:r>
        <w:t xml:space="preserve">An order submission interface shall clearly distinguish:</w:t>
      </w:r>
    </w:p>
    <w:p>
      <w:pPr>
        <w:pStyle w:val="Compact"/>
        <w:numPr>
          <w:ilvl w:val="0"/>
          <w:numId w:val="1019"/>
        </w:numPr>
      </w:pPr>
      <w:r>
        <w:t xml:space="preserve">request accepted locally</w:t>
      </w:r>
    </w:p>
    <w:p>
      <w:pPr>
        <w:pStyle w:val="Compact"/>
        <w:numPr>
          <w:ilvl w:val="0"/>
          <w:numId w:val="1019"/>
        </w:numPr>
      </w:pPr>
      <w:r>
        <w:t xml:space="preserve">request transmitted</w:t>
      </w:r>
    </w:p>
    <w:p>
      <w:pPr>
        <w:pStyle w:val="Compact"/>
        <w:numPr>
          <w:ilvl w:val="0"/>
          <w:numId w:val="1019"/>
        </w:numPr>
      </w:pPr>
      <w:r>
        <w:t xml:space="preserve">broker acknowledgement</w:t>
      </w:r>
    </w:p>
    <w:p>
      <w:pPr>
        <w:pStyle w:val="Compact"/>
        <w:numPr>
          <w:ilvl w:val="0"/>
          <w:numId w:val="1019"/>
        </w:numPr>
      </w:pPr>
      <w:r>
        <w:t xml:space="preserve">broker rejection</w:t>
      </w:r>
    </w:p>
    <w:p>
      <w:pPr>
        <w:pStyle w:val="Compact"/>
        <w:numPr>
          <w:ilvl w:val="0"/>
          <w:numId w:val="1019"/>
        </w:numPr>
      </w:pPr>
      <w:r>
        <w:t xml:space="preserve">execution state</w:t>
      </w:r>
    </w:p>
    <w:p>
      <w:pPr>
        <w:pStyle w:val="FirstParagraph"/>
      </w:pPr>
      <w:r>
        <w:t xml:space="preserve">A successful API call shall not automatically mean that the broker acknowledged the order.</w:t>
      </w:r>
    </w:p>
    <w:p>
      <w:pPr>
        <w:pStyle w:val="BodyText"/>
      </w:pPr>
      <w:r>
        <w:t xml:space="preserve">Return types and state models shall preserve this distinction.</w:t>
      </w:r>
    </w:p>
    <w:p>
      <w:r>
        <w:pict>
          <v:rect style="width:0;height:1.5pt" o:hralign="center" o:hrstd="t" o:hr="t"/>
        </w:pict>
      </w:r>
    </w:p>
    <w:bookmarkEnd w:id="31"/>
    <w:bookmarkStart w:id="32" w:name="duplicate-submission-risk"/>
    <w:p>
      <w:pPr>
        <w:pStyle w:val="Heading1"/>
      </w:pPr>
      <w:r>
        <w:t xml:space="preserve">Duplicate Submission Risk</w:t>
      </w:r>
    </w:p>
    <w:p>
      <w:pPr>
        <w:pStyle w:val="FirstParagraph"/>
      </w:pPr>
      <w:r>
        <w:t xml:space="preserve">Order APIs shall consider duplicate execution risk.</w:t>
      </w:r>
    </w:p>
    <w:p>
      <w:pPr>
        <w:pStyle w:val="BodyText"/>
      </w:pPr>
      <w:r>
        <w:t xml:space="preserve">Order submission interfaces should support an explicit application-controlled submission identity where required.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@dataclass(frozen=True)</w:t>
      </w:r>
      <w:r>
        <w:br/>
      </w:r>
      <w:r>
        <w:rPr>
          <w:rStyle w:val="VerbatimChar"/>
        </w:rPr>
        <w:t xml:space="preserve">class SubmitOrderRequest:</w:t>
      </w:r>
      <w:r>
        <w:br/>
      </w:r>
      <w:r>
        <w:rPr>
          <w:rStyle w:val="VerbatimChar"/>
        </w:rPr>
        <w:t xml:space="preserve">    order_id: OrderId</w:t>
      </w:r>
      <w:r>
        <w:br/>
      </w:r>
      <w:r>
        <w:rPr>
          <w:rStyle w:val="VerbatimChar"/>
        </w:rPr>
        <w:t xml:space="preserve">    submission_key: OrderSubmissionKey</w:t>
      </w:r>
      <w:r>
        <w:br/>
      </w:r>
      <w:r>
        <w:rPr>
          <w:rStyle w:val="VerbatimChar"/>
        </w:rPr>
        <w:t xml:space="preserve">    ...</w:t>
      </w:r>
    </w:p>
    <w:p>
      <w:pPr>
        <w:pStyle w:val="FirstParagraph"/>
      </w:pPr>
      <w:r>
        <w:t xml:space="preserve">The application workflow owns duplicate-prevention rules.</w:t>
      </w:r>
    </w:p>
    <w:p>
      <w:pPr>
        <w:pStyle w:val="BodyText"/>
      </w:pPr>
      <w:r>
        <w:t xml:space="preserve">Infrastructure may preserve and transport submission identifiers where technically possible.</w:t>
      </w:r>
    </w:p>
    <w:p>
      <w:pPr>
        <w:pStyle w:val="BodyText"/>
      </w:pPr>
      <w:r>
        <w:t xml:space="preserve">Adapters shall not blindly retry order submission.</w:t>
      </w:r>
    </w:p>
    <w:p>
      <w:r>
        <w:pict>
          <v:rect style="width:0;height:1.5pt" o:hralign="center" o:hrstd="t" o:hr="t"/>
        </w:pict>
      </w:r>
    </w:p>
    <w:bookmarkEnd w:id="32"/>
    <w:bookmarkStart w:id="33" w:name="idempotency"/>
    <w:p>
      <w:pPr>
        <w:pStyle w:val="Heading1"/>
      </w:pPr>
      <w:r>
        <w:t xml:space="preserve">Idempotency</w:t>
      </w:r>
    </w:p>
    <w:p>
      <w:pPr>
        <w:pStyle w:val="FirstParagraph"/>
      </w:pPr>
      <w:r>
        <w:t xml:space="preserve">Idempotency requirements shall be evaluated per operation.</w:t>
      </w:r>
    </w:p>
    <w:p>
      <w:pPr>
        <w:pStyle w:val="BodyText"/>
      </w:pPr>
      <w:r>
        <w:t xml:space="preserve">Typical candidates:</w:t>
      </w:r>
    </w:p>
    <w:p>
      <w:pPr>
        <w:pStyle w:val="Compact"/>
        <w:numPr>
          <w:ilvl w:val="0"/>
          <w:numId w:val="1020"/>
        </w:numPr>
      </w:pPr>
      <w:r>
        <w:t xml:space="preserve">read operations</w:t>
      </w:r>
    </w:p>
    <w:p>
      <w:pPr>
        <w:pStyle w:val="Compact"/>
        <w:numPr>
          <w:ilvl w:val="0"/>
          <w:numId w:val="1020"/>
        </w:numPr>
      </w:pPr>
      <w:r>
        <w:t xml:space="preserve">persistence updates with explicit identity</w:t>
      </w:r>
    </w:p>
    <w:p>
      <w:pPr>
        <w:pStyle w:val="Compact"/>
        <w:numPr>
          <w:ilvl w:val="0"/>
          <w:numId w:val="1020"/>
        </w:numPr>
      </w:pPr>
      <w:r>
        <w:t xml:space="preserve">subscription cancellation</w:t>
      </w:r>
    </w:p>
    <w:p>
      <w:pPr>
        <w:pStyle w:val="Compact"/>
        <w:numPr>
          <w:ilvl w:val="0"/>
          <w:numId w:val="1020"/>
        </w:numPr>
      </w:pPr>
      <w:r>
        <w:t xml:space="preserve">reconciliation reads</w:t>
      </w:r>
    </w:p>
    <w:p>
      <w:pPr>
        <w:pStyle w:val="FirstParagraph"/>
      </w:pPr>
      <w:r>
        <w:t xml:space="preserve">Order submission shall not be assumed idempotent.</w:t>
      </w:r>
    </w:p>
    <w:p>
      <w:pPr>
        <w:pStyle w:val="BodyText"/>
      </w:pPr>
      <w:r>
        <w:t xml:space="preserve">An API shall document idempotency expectations where repeated execution may create external side effects.</w:t>
      </w:r>
    </w:p>
    <w:p>
      <w:r>
        <w:pict>
          <v:rect style="width:0;height:1.5pt" o:hralign="center" o:hrstd="t" o:hr="t"/>
        </w:pict>
      </w:r>
    </w:p>
    <w:bookmarkEnd w:id="33"/>
    <w:bookmarkStart w:id="34" w:name="retry-behaviour"/>
    <w:p>
      <w:pPr>
        <w:pStyle w:val="Heading1"/>
      </w:pPr>
      <w:r>
        <w:t xml:space="preserve">Retry Behaviour</w:t>
      </w:r>
    </w:p>
    <w:p>
      <w:pPr>
        <w:pStyle w:val="FirstParagraph"/>
      </w:pPr>
      <w:r>
        <w:t xml:space="preserve">Retry behaviour shall not be hidden inside APIs without explicit design.</w:t>
      </w:r>
    </w:p>
    <w:p>
      <w:pPr>
        <w:pStyle w:val="BodyText"/>
      </w:pPr>
      <w:r>
        <w:t xml:space="preserve">Retries shall consider:</w:t>
      </w:r>
    </w:p>
    <w:p>
      <w:pPr>
        <w:pStyle w:val="Compact"/>
        <w:numPr>
          <w:ilvl w:val="0"/>
          <w:numId w:val="1021"/>
        </w:numPr>
      </w:pPr>
      <w:r>
        <w:t xml:space="preserve">idempotency</w:t>
      </w:r>
    </w:p>
    <w:p>
      <w:pPr>
        <w:pStyle w:val="Compact"/>
        <w:numPr>
          <w:ilvl w:val="0"/>
          <w:numId w:val="1021"/>
        </w:numPr>
      </w:pPr>
      <w:r>
        <w:t xml:space="preserve">external side effects</w:t>
      </w:r>
    </w:p>
    <w:p>
      <w:pPr>
        <w:pStyle w:val="Compact"/>
        <w:numPr>
          <w:ilvl w:val="0"/>
          <w:numId w:val="1021"/>
        </w:numPr>
      </w:pPr>
      <w:r>
        <w:t xml:space="preserve">duplicate execution risk</w:t>
      </w:r>
    </w:p>
    <w:p>
      <w:pPr>
        <w:pStyle w:val="Compact"/>
        <w:numPr>
          <w:ilvl w:val="0"/>
          <w:numId w:val="1021"/>
        </w:numPr>
      </w:pPr>
      <w:r>
        <w:t xml:space="preserve">provider behaviour</w:t>
      </w:r>
    </w:p>
    <w:p>
      <w:pPr>
        <w:pStyle w:val="Compact"/>
        <w:numPr>
          <w:ilvl w:val="0"/>
          <w:numId w:val="1021"/>
        </w:numPr>
      </w:pPr>
      <w:r>
        <w:t xml:space="preserve">workflow ownership</w:t>
      </w:r>
    </w:p>
    <w:p>
      <w:pPr>
        <w:pStyle w:val="FirstParagraph"/>
      </w:pPr>
      <w:r>
        <w:t xml:space="preserve">Automatic retry may be appropriate for selected read operations.</w:t>
      </w:r>
    </w:p>
    <w:p>
      <w:pPr>
        <w:pStyle w:val="BodyText"/>
      </w:pPr>
      <w:r>
        <w:t xml:space="preserve">Automatic order submission retry is prohibited unless explicitly defined and approved by the order workflow.</w:t>
      </w:r>
    </w:p>
    <w:p>
      <w:pPr>
        <w:pStyle w:val="BodyText"/>
      </w:pPr>
      <w:r>
        <w:t xml:space="preserve">Retry attempts shall be observable.</w:t>
      </w:r>
    </w:p>
    <w:p>
      <w:r>
        <w:pict>
          <v:rect style="width:0;height:1.5pt" o:hralign="center" o:hrstd="t" o:hr="t"/>
        </w:pict>
      </w:r>
    </w:p>
    <w:bookmarkEnd w:id="34"/>
    <w:bookmarkStart w:id="35" w:name="broker-interfaces"/>
    <w:p>
      <w:pPr>
        <w:pStyle w:val="Heading1"/>
      </w:pPr>
      <w:r>
        <w:t xml:space="preserve">Broker Interfaces</w:t>
      </w:r>
    </w:p>
    <w:p>
      <w:pPr>
        <w:pStyle w:val="FirstParagraph"/>
      </w:pPr>
      <w:r>
        <w:t xml:space="preserve">Broker interfaces may expose capabilities for:</w:t>
      </w:r>
    </w:p>
    <w:p>
      <w:pPr>
        <w:pStyle w:val="Compact"/>
        <w:numPr>
          <w:ilvl w:val="0"/>
          <w:numId w:val="1022"/>
        </w:numPr>
      </w:pPr>
      <w:r>
        <w:t xml:space="preserve">connection</w:t>
      </w:r>
    </w:p>
    <w:p>
      <w:pPr>
        <w:pStyle w:val="Compact"/>
        <w:numPr>
          <w:ilvl w:val="0"/>
          <w:numId w:val="1022"/>
        </w:numPr>
      </w:pPr>
      <w:r>
        <w:t xml:space="preserve">account information</w:t>
      </w:r>
    </w:p>
    <w:p>
      <w:pPr>
        <w:pStyle w:val="Compact"/>
        <w:numPr>
          <w:ilvl w:val="0"/>
          <w:numId w:val="1022"/>
        </w:numPr>
      </w:pPr>
      <w:r>
        <w:t xml:space="preserve">portfolio information</w:t>
      </w:r>
    </w:p>
    <w:p>
      <w:pPr>
        <w:pStyle w:val="Compact"/>
        <w:numPr>
          <w:ilvl w:val="0"/>
          <w:numId w:val="1022"/>
        </w:numPr>
      </w:pPr>
      <w:r>
        <w:t xml:space="preserve">positions</w:t>
      </w:r>
    </w:p>
    <w:p>
      <w:pPr>
        <w:pStyle w:val="Compact"/>
        <w:numPr>
          <w:ilvl w:val="0"/>
          <w:numId w:val="1022"/>
        </w:numPr>
      </w:pPr>
      <w:r>
        <w:t xml:space="preserve">order submission</w:t>
      </w:r>
    </w:p>
    <w:p>
      <w:pPr>
        <w:pStyle w:val="Compact"/>
        <w:numPr>
          <w:ilvl w:val="0"/>
          <w:numId w:val="1022"/>
        </w:numPr>
      </w:pPr>
      <w:r>
        <w:t xml:space="preserve">order cancellation</w:t>
      </w:r>
    </w:p>
    <w:p>
      <w:pPr>
        <w:pStyle w:val="Compact"/>
        <w:numPr>
          <w:ilvl w:val="0"/>
          <w:numId w:val="1022"/>
        </w:numPr>
      </w:pPr>
      <w:r>
        <w:t xml:space="preserve">order state</w:t>
      </w:r>
    </w:p>
    <w:p>
      <w:pPr>
        <w:pStyle w:val="Compact"/>
        <w:numPr>
          <w:ilvl w:val="0"/>
          <w:numId w:val="1022"/>
        </w:numPr>
      </w:pPr>
      <w:r>
        <w:t xml:space="preserve">executions</w:t>
      </w:r>
    </w:p>
    <w:p>
      <w:pPr>
        <w:pStyle w:val="FirstParagraph"/>
      </w:pPr>
      <w:r>
        <w:t xml:space="preserve">Broker interfaces shall expose operational state explicitly.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async def get_connection_state(</w:t>
      </w:r>
      <w:r>
        <w:br/>
      </w:r>
      <w:r>
        <w:rPr>
          <w:rStyle w:val="VerbatimChar"/>
        </w:rPr>
        <w:t xml:space="preserve">    self,</w:t>
      </w:r>
      <w:r>
        <w:br/>
      </w:r>
      <w:r>
        <w:rPr>
          <w:rStyle w:val="VerbatimChar"/>
        </w:rPr>
        <w:t xml:space="preserve">) -&gt; BrokerConnectionState:</w:t>
      </w:r>
      <w:r>
        <w:br/>
      </w:r>
      <w:r>
        <w:rPr>
          <w:rStyle w:val="VerbatimChar"/>
        </w:rPr>
        <w:t xml:space="preserve">    ...</w:t>
      </w:r>
    </w:p>
    <w:p>
      <w:pPr>
        <w:pStyle w:val="FirstParagraph"/>
      </w:pPr>
      <w:r>
        <w:t xml:space="preserve">The application shall not infer broker connectivity from unrelated successful operations.</w:t>
      </w:r>
    </w:p>
    <w:p>
      <w:r>
        <w:pict>
          <v:rect style="width:0;height:1.5pt" o:hralign="center" o:hrstd="t" o:hr="t"/>
        </w:pict>
      </w:r>
    </w:p>
    <w:bookmarkEnd w:id="35"/>
    <w:bookmarkStart w:id="36" w:name="market-data-interfaces"/>
    <w:p>
      <w:pPr>
        <w:pStyle w:val="Heading1"/>
      </w:pPr>
      <w:r>
        <w:t xml:space="preserve">Market Data Interfaces</w:t>
      </w:r>
    </w:p>
    <w:p>
      <w:pPr>
        <w:pStyle w:val="FirstParagraph"/>
      </w:pPr>
      <w:r>
        <w:t xml:space="preserve">Market data interfaces may expose:</w:t>
      </w:r>
    </w:p>
    <w:p>
      <w:pPr>
        <w:pStyle w:val="Compact"/>
        <w:numPr>
          <w:ilvl w:val="0"/>
          <w:numId w:val="1023"/>
        </w:numPr>
      </w:pPr>
      <w:r>
        <w:t xml:space="preserve">instrument lookup</w:t>
      </w:r>
    </w:p>
    <w:p>
      <w:pPr>
        <w:pStyle w:val="Compact"/>
        <w:numPr>
          <w:ilvl w:val="0"/>
          <w:numId w:val="1023"/>
        </w:numPr>
      </w:pPr>
      <w:r>
        <w:t xml:space="preserve">quote retrieval</w:t>
      </w:r>
    </w:p>
    <w:p>
      <w:pPr>
        <w:pStyle w:val="Compact"/>
        <w:numPr>
          <w:ilvl w:val="0"/>
          <w:numId w:val="1023"/>
        </w:numPr>
      </w:pPr>
      <w:r>
        <w:t xml:space="preserve">quote subscription</w:t>
      </w:r>
    </w:p>
    <w:p>
      <w:pPr>
        <w:pStyle w:val="Compact"/>
        <w:numPr>
          <w:ilvl w:val="0"/>
          <w:numId w:val="1023"/>
        </w:numPr>
      </w:pPr>
      <w:r>
        <w:t xml:space="preserve">subscription cancellation</w:t>
      </w:r>
    </w:p>
    <w:p>
      <w:pPr>
        <w:pStyle w:val="Compact"/>
        <w:numPr>
          <w:ilvl w:val="0"/>
          <w:numId w:val="1023"/>
        </w:numPr>
      </w:pPr>
      <w:r>
        <w:t xml:space="preserve">connection state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async def subscribe_quotes(</w:t>
      </w:r>
      <w:r>
        <w:br/>
      </w:r>
      <w:r>
        <w:rPr>
          <w:rStyle w:val="VerbatimChar"/>
        </w:rPr>
        <w:t xml:space="preserve">    instrument_id: InstrumentId,</w:t>
      </w:r>
      <w:r>
        <w:br/>
      </w:r>
      <w:r>
        <w:rPr>
          <w:rStyle w:val="VerbatimChar"/>
        </w:rPr>
        <w:t xml:space="preserve">) -&gt; QuoteSubscription:</w:t>
      </w:r>
      <w:r>
        <w:br/>
      </w:r>
      <w:r>
        <w:rPr>
          <w:rStyle w:val="VerbatimChar"/>
        </w:rPr>
        <w:t xml:space="preserve">    ...</w:t>
      </w:r>
    </w:p>
    <w:p>
      <w:pPr>
        <w:pStyle w:val="FirstParagraph"/>
      </w:pPr>
      <w:r>
        <w:t xml:space="preserve">Market data contracts shall preserve:</w:t>
      </w:r>
    </w:p>
    <w:p>
      <w:pPr>
        <w:pStyle w:val="Compact"/>
        <w:numPr>
          <w:ilvl w:val="0"/>
          <w:numId w:val="1024"/>
        </w:numPr>
      </w:pPr>
      <w:r>
        <w:t xml:space="preserve">source timestamp where available</w:t>
      </w:r>
    </w:p>
    <w:p>
      <w:pPr>
        <w:pStyle w:val="Compact"/>
        <w:numPr>
          <w:ilvl w:val="0"/>
          <w:numId w:val="1024"/>
        </w:numPr>
      </w:pPr>
      <w:r>
        <w:t xml:space="preserve">availability state</w:t>
      </w:r>
    </w:p>
    <w:p>
      <w:pPr>
        <w:pStyle w:val="Compact"/>
        <w:numPr>
          <w:ilvl w:val="0"/>
          <w:numId w:val="1024"/>
        </w:numPr>
      </w:pPr>
      <w:r>
        <w:t xml:space="preserve">subscription state</w:t>
      </w:r>
    </w:p>
    <w:p>
      <w:pPr>
        <w:pStyle w:val="FirstParagraph"/>
      </w:pPr>
      <w:r>
        <w:t xml:space="preserve">Cached data shall not silently appear as current provider data.</w:t>
      </w:r>
    </w:p>
    <w:p>
      <w:r>
        <w:pict>
          <v:rect style="width:0;height:1.5pt" o:hralign="center" o:hrstd="t" o:hr="t"/>
        </w:pict>
      </w:r>
    </w:p>
    <w:bookmarkEnd w:id="36"/>
    <w:bookmarkStart w:id="37" w:name="subscription-interfaces"/>
    <w:p>
      <w:pPr>
        <w:pStyle w:val="Heading1"/>
      </w:pPr>
      <w:r>
        <w:t xml:space="preserve">Subscription Interfaces</w:t>
      </w:r>
    </w:p>
    <w:p>
      <w:pPr>
        <w:pStyle w:val="FirstParagraph"/>
      </w:pPr>
      <w:r>
        <w:t xml:space="preserve">Subscriptions shall have explicit lifecycle semantics.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subscription = await market_data.subscribe_quotes(</w:t>
      </w:r>
      <w:r>
        <w:br/>
      </w:r>
      <w:r>
        <w:rPr>
          <w:rStyle w:val="VerbatimChar"/>
        </w:rPr>
        <w:t xml:space="preserve">    instrument_id,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await subscription.close()</w:t>
      </w:r>
    </w:p>
    <w:p>
      <w:pPr>
        <w:pStyle w:val="FirstParagraph"/>
      </w:pPr>
      <w:r>
        <w:t xml:space="preserve">Subscription interfaces shall define:</w:t>
      </w:r>
    </w:p>
    <w:p>
      <w:pPr>
        <w:pStyle w:val="Compact"/>
        <w:numPr>
          <w:ilvl w:val="0"/>
          <w:numId w:val="1025"/>
        </w:numPr>
      </w:pPr>
      <w:r>
        <w:t xml:space="preserve">ownership</w:t>
      </w:r>
    </w:p>
    <w:p>
      <w:pPr>
        <w:pStyle w:val="Compact"/>
        <w:numPr>
          <w:ilvl w:val="0"/>
          <w:numId w:val="1025"/>
        </w:numPr>
      </w:pPr>
      <w:r>
        <w:t xml:space="preserve">activation state</w:t>
      </w:r>
    </w:p>
    <w:p>
      <w:pPr>
        <w:pStyle w:val="Compact"/>
        <w:numPr>
          <w:ilvl w:val="0"/>
          <w:numId w:val="1025"/>
        </w:numPr>
      </w:pPr>
      <w:r>
        <w:t xml:space="preserve">cancellation</w:t>
      </w:r>
    </w:p>
    <w:p>
      <w:pPr>
        <w:pStyle w:val="Compact"/>
        <w:numPr>
          <w:ilvl w:val="0"/>
          <w:numId w:val="1025"/>
        </w:numPr>
      </w:pPr>
      <w:r>
        <w:t xml:space="preserve">disposal</w:t>
      </w:r>
    </w:p>
    <w:p>
      <w:pPr>
        <w:pStyle w:val="Compact"/>
        <w:numPr>
          <w:ilvl w:val="0"/>
          <w:numId w:val="1025"/>
        </w:numPr>
      </w:pPr>
      <w:r>
        <w:t xml:space="preserve">failure behaviour</w:t>
      </w:r>
    </w:p>
    <w:p>
      <w:pPr>
        <w:pStyle w:val="FirstParagraph"/>
      </w:pPr>
      <w:r>
        <w:t xml:space="preserve">Subscriptions shall not depend on garbage collection for critical resource release.</w:t>
      </w:r>
    </w:p>
    <w:p>
      <w:r>
        <w:pict>
          <v:rect style="width:0;height:1.5pt" o:hralign="center" o:hrstd="t" o:hr="t"/>
        </w:pict>
      </w:r>
    </w:p>
    <w:bookmarkEnd w:id="37"/>
    <w:bookmarkStart w:id="38" w:name="repository-interfaces"/>
    <w:p>
      <w:pPr>
        <w:pStyle w:val="Heading1"/>
      </w:pPr>
      <w:r>
        <w:t xml:space="preserve">Repository Interfaces</w:t>
      </w:r>
    </w:p>
    <w:p>
      <w:pPr>
        <w:pStyle w:val="FirstParagraph"/>
      </w:pPr>
      <w:r>
        <w:t xml:space="preserve">Repository interfaces represent persistence requirements of Domain or Application workflows.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class OrderRepository(Protocol):</w:t>
      </w:r>
      <w:r>
        <w:br/>
      </w:r>
      <w:r>
        <w:rPr>
          <w:rStyle w:val="VerbatimChar"/>
        </w:rPr>
        <w:t xml:space="preserve">    def get(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order_id: OrderId,</w:t>
      </w:r>
      <w:r>
        <w:br/>
      </w:r>
      <w:r>
        <w:rPr>
          <w:rStyle w:val="VerbatimChar"/>
        </w:rPr>
        <w:t xml:space="preserve">    ) -&gt; Order | None:</w:t>
      </w:r>
      <w:r>
        <w:br/>
      </w:r>
      <w:r>
        <w:rPr>
          <w:rStyle w:val="VerbatimChar"/>
        </w:rPr>
        <w:t xml:space="preserve">        ...</w:t>
      </w:r>
      <w:r>
        <w:br/>
      </w:r>
      <w:r>
        <w:br/>
      </w:r>
      <w:r>
        <w:rPr>
          <w:rStyle w:val="VerbatimChar"/>
        </w:rPr>
        <w:t xml:space="preserve">    def save(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order: Order,</w:t>
      </w:r>
      <w:r>
        <w:br/>
      </w:r>
      <w:r>
        <w:rPr>
          <w:rStyle w:val="VerbatimChar"/>
        </w:rPr>
        <w:t xml:space="preserve">    ) -&gt; None:</w:t>
      </w:r>
      <w:r>
        <w:br/>
      </w:r>
      <w:r>
        <w:rPr>
          <w:rStyle w:val="VerbatimChar"/>
        </w:rPr>
        <w:t xml:space="preserve">        ...</w:t>
      </w:r>
    </w:p>
    <w:p>
      <w:pPr>
        <w:pStyle w:val="FirstParagraph"/>
      </w:pPr>
      <w:r>
        <w:t xml:space="preserve">Repository interfaces shall:</w:t>
      </w:r>
    </w:p>
    <w:p>
      <w:pPr>
        <w:pStyle w:val="Compact"/>
        <w:numPr>
          <w:ilvl w:val="0"/>
          <w:numId w:val="1026"/>
        </w:numPr>
      </w:pPr>
      <w:r>
        <w:t xml:space="preserve">use domain-oriented identities</w:t>
      </w:r>
    </w:p>
    <w:p>
      <w:pPr>
        <w:pStyle w:val="Compact"/>
        <w:numPr>
          <w:ilvl w:val="0"/>
          <w:numId w:val="1026"/>
        </w:numPr>
      </w:pPr>
      <w:r>
        <w:t xml:space="preserve">expose meaningful persistence operations</w:t>
      </w:r>
    </w:p>
    <w:p>
      <w:pPr>
        <w:pStyle w:val="Compact"/>
        <w:numPr>
          <w:ilvl w:val="0"/>
          <w:numId w:val="1026"/>
        </w:numPr>
      </w:pPr>
      <w:r>
        <w:t xml:space="preserve">avoid SQLAlchemy types</w:t>
      </w:r>
    </w:p>
    <w:p>
      <w:pPr>
        <w:pStyle w:val="Compact"/>
        <w:numPr>
          <w:ilvl w:val="0"/>
          <w:numId w:val="1026"/>
        </w:numPr>
      </w:pPr>
      <w:r>
        <w:t xml:space="preserve">avoid database-specific query language</w:t>
      </w:r>
    </w:p>
    <w:p>
      <w:pPr>
        <w:pStyle w:val="FirstParagraph"/>
      </w:pPr>
      <w:r>
        <w:t xml:space="preserve">Do not create generic repositories solely to reduce repeated method names.</w:t>
      </w:r>
    </w:p>
    <w:p>
      <w:r>
        <w:pict>
          <v:rect style="width:0;height:1.5pt" o:hralign="center" o:hrstd="t" o:hr="t"/>
        </w:pict>
      </w:r>
    </w:p>
    <w:bookmarkEnd w:id="38"/>
    <w:bookmarkStart w:id="39" w:name="query-interfaces"/>
    <w:p>
      <w:pPr>
        <w:pStyle w:val="Heading1"/>
      </w:pPr>
      <w:r>
        <w:t xml:space="preserve">Query Interfaces</w:t>
      </w:r>
    </w:p>
    <w:p>
      <w:pPr>
        <w:pStyle w:val="FirstParagraph"/>
      </w:pPr>
      <w:r>
        <w:t xml:space="preserve">Read-oriented interfaces may return application-specific read models.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@dataclass(frozen=True)</w:t>
      </w:r>
      <w:r>
        <w:br/>
      </w:r>
      <w:r>
        <w:rPr>
          <w:rStyle w:val="VerbatimChar"/>
        </w:rPr>
        <w:t xml:space="preserve">class OpenOrderView:</w:t>
      </w:r>
      <w:r>
        <w:br/>
      </w:r>
      <w:r>
        <w:rPr>
          <w:rStyle w:val="VerbatimChar"/>
        </w:rPr>
        <w:t xml:space="preserve">    order_id: OrderId</w:t>
      </w:r>
      <w:r>
        <w:br/>
      </w:r>
      <w:r>
        <w:rPr>
          <w:rStyle w:val="VerbatimChar"/>
        </w:rPr>
        <w:t xml:space="preserve">    instrument_id: InstrumentId</w:t>
      </w:r>
      <w:r>
        <w:br/>
      </w:r>
      <w:r>
        <w:rPr>
          <w:rStyle w:val="VerbatimChar"/>
        </w:rPr>
        <w:t xml:space="preserve">    status: OrderStatus</w:t>
      </w:r>
    </w:p>
    <w:p>
      <w:pPr>
        <w:pStyle w:val="FirstParagraph"/>
      </w:pPr>
      <w:r>
        <w:t xml:space="preserve">Read models shall remain distinct from mutable Domain Entities where their responsibility differs.</w:t>
      </w:r>
    </w:p>
    <w:p>
      <w:pPr>
        <w:pStyle w:val="BodyText"/>
      </w:pPr>
      <w:r>
        <w:t xml:space="preserve">Queries shall not silently mutate business state.</w:t>
      </w:r>
    </w:p>
    <w:p>
      <w:r>
        <w:pict>
          <v:rect style="width:0;height:1.5pt" o:hralign="center" o:hrstd="t" o:hr="t"/>
        </w:pict>
      </w:r>
    </w:p>
    <w:bookmarkEnd w:id="39"/>
    <w:bookmarkStart w:id="40" w:name="presentation-facing-interfaces"/>
    <w:p>
      <w:pPr>
        <w:pStyle w:val="Heading1"/>
      </w:pPr>
      <w:r>
        <w:t xml:space="preserve">Presentation-Facing Interfaces</w:t>
      </w:r>
    </w:p>
    <w:p>
      <w:pPr>
        <w:pStyle w:val="FirstParagraph"/>
      </w:pPr>
      <w:r>
        <w:t xml:space="preserve">Presentation shall interact with Application interfaces.</w:t>
      </w:r>
    </w:p>
    <w:p>
      <w:pPr>
        <w:pStyle w:val="BodyText"/>
      </w:pPr>
      <w:r>
        <w:t xml:space="preserve">Presentation-facing APIs shall provide:</w:t>
      </w:r>
    </w:p>
    <w:p>
      <w:pPr>
        <w:pStyle w:val="Compact"/>
        <w:numPr>
          <w:ilvl w:val="0"/>
          <w:numId w:val="1027"/>
        </w:numPr>
      </w:pPr>
      <w:r>
        <w:t xml:space="preserve">explicit operation state</w:t>
      </w:r>
    </w:p>
    <w:p>
      <w:pPr>
        <w:pStyle w:val="Compact"/>
        <w:numPr>
          <w:ilvl w:val="0"/>
          <w:numId w:val="1027"/>
        </w:numPr>
      </w:pPr>
      <w:r>
        <w:t xml:space="preserve">UI-relevant read models</w:t>
      </w:r>
    </w:p>
    <w:p>
      <w:pPr>
        <w:pStyle w:val="Compact"/>
        <w:numPr>
          <w:ilvl w:val="0"/>
          <w:numId w:val="1027"/>
        </w:numPr>
      </w:pPr>
      <w:r>
        <w:t xml:space="preserve">observable loading or failure state where required</w:t>
      </w:r>
    </w:p>
    <w:p>
      <w:pPr>
        <w:pStyle w:val="FirstParagraph"/>
      </w:pPr>
      <w:r>
        <w:t xml:space="preserve">Presentation shall not receive:</w:t>
      </w:r>
    </w:p>
    <w:p>
      <w:pPr>
        <w:pStyle w:val="Compact"/>
        <w:numPr>
          <w:ilvl w:val="0"/>
          <w:numId w:val="1028"/>
        </w:numPr>
      </w:pPr>
      <w:r>
        <w:t xml:space="preserve">SQLAlchemy sessions</w:t>
      </w:r>
    </w:p>
    <w:p>
      <w:pPr>
        <w:pStyle w:val="Compact"/>
        <w:numPr>
          <w:ilvl w:val="0"/>
          <w:numId w:val="1028"/>
        </w:numPr>
      </w:pPr>
      <w:r>
        <w:t xml:space="preserve">broker clients</w:t>
      </w:r>
    </w:p>
    <w:p>
      <w:pPr>
        <w:pStyle w:val="Compact"/>
        <w:numPr>
          <w:ilvl w:val="0"/>
          <w:numId w:val="1028"/>
        </w:numPr>
      </w:pPr>
      <w:r>
        <w:t xml:space="preserve">provider payloads</w:t>
      </w:r>
    </w:p>
    <w:p>
      <w:pPr>
        <w:pStyle w:val="Compact"/>
        <w:numPr>
          <w:ilvl w:val="0"/>
          <w:numId w:val="1028"/>
        </w:numPr>
      </w:pPr>
      <w:r>
        <w:t xml:space="preserve">infrastructure connection objects</w:t>
      </w:r>
    </w:p>
    <w:p>
      <w:pPr>
        <w:pStyle w:val="FirstParagraph"/>
      </w:pPr>
      <w:r>
        <w:t xml:space="preserve">Widgets shall not call broker adapters directly.</w:t>
      </w:r>
    </w:p>
    <w:p>
      <w:r>
        <w:pict>
          <v:rect style="width:0;height:1.5pt" o:hralign="center" o:hrstd="t" o:hr="t"/>
        </w:pict>
      </w:r>
    </w:p>
    <w:bookmarkEnd w:id="40"/>
    <w:bookmarkStart w:id="41" w:name="state-representation"/>
    <w:p>
      <w:pPr>
        <w:pStyle w:val="Heading1"/>
      </w:pPr>
      <w:r>
        <w:t xml:space="preserve">State Representation</w:t>
      </w:r>
    </w:p>
    <w:p>
      <w:pPr>
        <w:pStyle w:val="FirstParagraph"/>
      </w:pPr>
      <w:r>
        <w:t xml:space="preserve">Operational state shall use explicit types.</w:t>
      </w:r>
    </w:p>
    <w:p>
      <w:pPr>
        <w:pStyle w:val="BodyText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BrokerConnectionState.CONNECTED</w:t>
      </w:r>
      <w:r>
        <w:br/>
      </w:r>
      <w:r>
        <w:rPr>
          <w:rStyle w:val="VerbatimChar"/>
        </w:rPr>
        <w:t xml:space="preserve">MarketDataState.STALE</w:t>
      </w:r>
      <w:r>
        <w:br/>
      </w:r>
      <w:r>
        <w:rPr>
          <w:rStyle w:val="VerbatimChar"/>
        </w:rPr>
        <w:t xml:space="preserve">OrderStatus.ACKNOWLEDGED</w:t>
      </w:r>
    </w:p>
    <w:p>
      <w:pPr>
        <w:pStyle w:val="FirstParagraph"/>
      </w:pPr>
      <w:r>
        <w:t xml:space="preserve">Avoid loosely defined string states such as:</w:t>
      </w:r>
    </w:p>
    <w:p>
      <w:pPr>
        <w:pStyle w:val="SourceCode"/>
      </w:pPr>
      <w:r>
        <w:rPr>
          <w:rStyle w:val="VerbatimChar"/>
        </w:rPr>
        <w:t xml:space="preserve">"ok"</w:t>
      </w:r>
      <w:r>
        <w:br/>
      </w:r>
      <w:r>
        <w:rPr>
          <w:rStyle w:val="VerbatimChar"/>
        </w:rPr>
        <w:t xml:space="preserve">"active"</w:t>
      </w:r>
      <w:r>
        <w:br/>
      </w:r>
      <w:r>
        <w:rPr>
          <w:rStyle w:val="VerbatimChar"/>
        </w:rPr>
        <w:t xml:space="preserve">"done"</w:t>
      </w:r>
    </w:p>
    <w:p>
      <w:pPr>
        <w:pStyle w:val="FirstParagraph"/>
      </w:pPr>
      <w:r>
        <w:t xml:space="preserve">State transitions shall remain deterministic where business-critical.</w:t>
      </w:r>
    </w:p>
    <w:p>
      <w:r>
        <w:pict>
          <v:rect style="width:0;height:1.5pt" o:hralign="center" o:hrstd="t" o:hr="t"/>
        </w:pict>
      </w:r>
    </w:p>
    <w:bookmarkEnd w:id="41"/>
    <w:bookmarkStart w:id="42" w:name="timestamps"/>
    <w:p>
      <w:pPr>
        <w:pStyle w:val="Heading1"/>
      </w:pPr>
      <w:r>
        <w:t xml:space="preserve">Timestamps</w:t>
      </w:r>
    </w:p>
    <w:p>
      <w:pPr>
        <w:pStyle w:val="FirstParagraph"/>
      </w:pPr>
      <w:r>
        <w:t xml:space="preserve">API contracts containing time-dependent data shall preserve timestamp semantics.</w:t>
      </w:r>
    </w:p>
    <w:p>
      <w:pPr>
        <w:pStyle w:val="BodyText"/>
      </w:pPr>
      <w:r>
        <w:t xml:space="preserve">Where relevant distinguish:</w:t>
      </w:r>
    </w:p>
    <w:p>
      <w:pPr>
        <w:pStyle w:val="Compact"/>
        <w:numPr>
          <w:ilvl w:val="0"/>
          <w:numId w:val="1029"/>
        </w:numPr>
      </w:pPr>
      <w:r>
        <w:t xml:space="preserve">market timestamp</w:t>
      </w:r>
    </w:p>
    <w:p>
      <w:pPr>
        <w:pStyle w:val="Compact"/>
        <w:numPr>
          <w:ilvl w:val="0"/>
          <w:numId w:val="1029"/>
        </w:numPr>
      </w:pPr>
      <w:r>
        <w:t xml:space="preserve">broker timestamp</w:t>
      </w:r>
    </w:p>
    <w:p>
      <w:pPr>
        <w:pStyle w:val="Compact"/>
        <w:numPr>
          <w:ilvl w:val="0"/>
          <w:numId w:val="1029"/>
        </w:numPr>
      </w:pPr>
      <w:r>
        <w:t xml:space="preserve">application timestamp</w:t>
      </w:r>
    </w:p>
    <w:p>
      <w:pPr>
        <w:pStyle w:val="FirstParagraph"/>
      </w:pPr>
      <w:r>
        <w:t xml:space="preserve">Timezone context shall remain explicit.</w:t>
      </w:r>
    </w:p>
    <w:p>
      <w:pPr>
        <w:pStyle w:val="BodyText"/>
      </w:pPr>
      <w:r>
        <w:t xml:space="preserve">Do not expose ambiguous naive timestamps across critical interfaces.</w:t>
      </w:r>
    </w:p>
    <w:p>
      <w:r>
        <w:pict>
          <v:rect style="width:0;height:1.5pt" o:hralign="center" o:hrstd="t" o:hr="t"/>
        </w:pict>
      </w:r>
    </w:p>
    <w:bookmarkEnd w:id="42"/>
    <w:bookmarkStart w:id="43" w:name="availability"/>
    <w:p>
      <w:pPr>
        <w:pStyle w:val="Heading1"/>
      </w:pPr>
      <w:r>
        <w:t xml:space="preserve">Availability</w:t>
      </w:r>
    </w:p>
    <w:p>
      <w:pPr>
        <w:pStyle w:val="FirstParagraph"/>
      </w:pPr>
      <w:r>
        <w:t xml:space="preserve">Financial and trading data APIs shall preserve unavailable state.</w:t>
      </w:r>
    </w:p>
    <w:p>
      <w:pPr>
        <w:pStyle w:val="BodyText"/>
      </w:pPr>
      <w:r>
        <w:t xml:space="preserve">Do not convert missing data silently to:</w:t>
      </w:r>
    </w:p>
    <w:p>
      <w:pPr>
        <w:pStyle w:val="SourceCode"/>
      </w:pP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0.0</w:t>
      </w:r>
      <w:r>
        <w:br/>
      </w:r>
      <w:r>
        <w:rPr>
          <w:rStyle w:val="VerbatimChar"/>
        </w:rPr>
        <w:t xml:space="preserve">Decimal("0")</w:t>
      </w:r>
    </w:p>
    <w:p>
      <w:pPr>
        <w:pStyle w:val="FirstParagraph"/>
      </w:pPr>
      <w:r>
        <w:t xml:space="preserve">when zero has valid business meaning.</w:t>
      </w:r>
    </w:p>
    <w:p>
      <w:pPr>
        <w:pStyle w:val="BodyText"/>
      </w:pPr>
      <w:r>
        <w:t xml:space="preserve">Use explicit optional or availability-aware structures.</w:t>
      </w:r>
    </w:p>
    <w:p>
      <w:r>
        <w:pict>
          <v:rect style="width:0;height:1.5pt" o:hralign="center" o:hrstd="t" o:hr="t"/>
        </w:pict>
      </w:r>
    </w:p>
    <w:bookmarkEnd w:id="43"/>
    <w:bookmarkStart w:id="44" w:name="api-documentation"/>
    <w:p>
      <w:pPr>
        <w:pStyle w:val="Heading1"/>
      </w:pPr>
      <w:r>
        <w:t xml:space="preserve">API Documentation</w:t>
      </w:r>
    </w:p>
    <w:p>
      <w:pPr>
        <w:pStyle w:val="FirstParagraph"/>
      </w:pPr>
      <w:r>
        <w:t xml:space="preserve">Public or cross-capability APIs shall document:</w:t>
      </w:r>
    </w:p>
    <w:p>
      <w:pPr>
        <w:pStyle w:val="Compact"/>
        <w:numPr>
          <w:ilvl w:val="0"/>
          <w:numId w:val="1030"/>
        </w:numPr>
      </w:pPr>
      <w:r>
        <w:t xml:space="preserve">purpose</w:t>
      </w:r>
    </w:p>
    <w:p>
      <w:pPr>
        <w:pStyle w:val="Compact"/>
        <w:numPr>
          <w:ilvl w:val="0"/>
          <w:numId w:val="1030"/>
        </w:numPr>
      </w:pPr>
      <w:r>
        <w:t xml:space="preserve">consumer</w:t>
      </w:r>
    </w:p>
    <w:p>
      <w:pPr>
        <w:pStyle w:val="Compact"/>
        <w:numPr>
          <w:ilvl w:val="0"/>
          <w:numId w:val="1030"/>
        </w:numPr>
      </w:pPr>
      <w:r>
        <w:t xml:space="preserve">parameters</w:t>
      </w:r>
    </w:p>
    <w:p>
      <w:pPr>
        <w:pStyle w:val="Compact"/>
        <w:numPr>
          <w:ilvl w:val="0"/>
          <w:numId w:val="1030"/>
        </w:numPr>
      </w:pPr>
      <w:r>
        <w:t xml:space="preserve">return value</w:t>
      </w:r>
    </w:p>
    <w:p>
      <w:pPr>
        <w:pStyle w:val="Compact"/>
        <w:numPr>
          <w:ilvl w:val="0"/>
          <w:numId w:val="1030"/>
        </w:numPr>
      </w:pPr>
      <w:r>
        <w:t xml:space="preserve">failure behaviour</w:t>
      </w:r>
    </w:p>
    <w:p>
      <w:pPr>
        <w:pStyle w:val="Compact"/>
        <w:numPr>
          <w:ilvl w:val="0"/>
          <w:numId w:val="1030"/>
        </w:numPr>
      </w:pPr>
      <w:r>
        <w:t xml:space="preserve">async behaviour where relevant</w:t>
      </w:r>
    </w:p>
    <w:p>
      <w:pPr>
        <w:pStyle w:val="Compact"/>
        <w:numPr>
          <w:ilvl w:val="0"/>
          <w:numId w:val="1030"/>
        </w:numPr>
      </w:pPr>
      <w:r>
        <w:t xml:space="preserve">timeout behaviour where relevant</w:t>
      </w:r>
    </w:p>
    <w:p>
      <w:pPr>
        <w:pStyle w:val="Compact"/>
        <w:numPr>
          <w:ilvl w:val="0"/>
          <w:numId w:val="1030"/>
        </w:numPr>
      </w:pPr>
      <w:r>
        <w:t xml:space="preserve">idempotency where relevant</w:t>
      </w:r>
    </w:p>
    <w:p>
      <w:pPr>
        <w:pStyle w:val="Compact"/>
        <w:numPr>
          <w:ilvl w:val="0"/>
          <w:numId w:val="1030"/>
        </w:numPr>
      </w:pPr>
      <w:r>
        <w:t xml:space="preserve">side effects</w:t>
      </w:r>
    </w:p>
    <w:p>
      <w:pPr>
        <w:pStyle w:val="FirstParagraph"/>
      </w:pPr>
      <w:r>
        <w:t xml:space="preserve">Usage examples should be provided for non-obvious interfaces.</w:t>
      </w:r>
    </w:p>
    <w:p>
      <w:pPr>
        <w:pStyle w:val="BodyText"/>
      </w:pPr>
      <w:r>
        <w:t xml:space="preserve">Internal private methods do not require redundant documentation when behaviour is clear.</w:t>
      </w:r>
    </w:p>
    <w:p>
      <w:r>
        <w:pict>
          <v:rect style="width:0;height:1.5pt" o:hralign="center" o:hrstd="t" o:hr="t"/>
        </w:pict>
      </w:r>
    </w:p>
    <w:bookmarkEnd w:id="44"/>
    <w:bookmarkStart w:id="45" w:name="api-versioning"/>
    <w:p>
      <w:pPr>
        <w:pStyle w:val="Heading1"/>
      </w:pPr>
      <w:r>
        <w:t xml:space="preserve">API Versioning</w:t>
      </w:r>
    </w:p>
    <w:p>
      <w:pPr>
        <w:pStyle w:val="FirstParagraph"/>
      </w:pPr>
      <w:r>
        <w:t xml:space="preserve">Internal Python interfaces evolve with the application.</w:t>
      </w:r>
    </w:p>
    <w:p>
      <w:pPr>
        <w:pStyle w:val="BodyText"/>
      </w:pPr>
      <w:r>
        <w:t xml:space="preserve">Breaking internal changes require:</w:t>
      </w:r>
    </w:p>
    <w:p>
      <w:pPr>
        <w:pStyle w:val="Compact"/>
        <w:numPr>
          <w:ilvl w:val="0"/>
          <w:numId w:val="1031"/>
        </w:numPr>
      </w:pPr>
      <w:r>
        <w:t xml:space="preserve">consumer updates</w:t>
      </w:r>
    </w:p>
    <w:p>
      <w:pPr>
        <w:pStyle w:val="Compact"/>
        <w:numPr>
          <w:ilvl w:val="0"/>
          <w:numId w:val="1031"/>
        </w:numPr>
      </w:pPr>
      <w:r>
        <w:t xml:space="preserve">automated test updates</w:t>
      </w:r>
    </w:p>
    <w:p>
      <w:pPr>
        <w:pStyle w:val="Compact"/>
        <w:numPr>
          <w:ilvl w:val="0"/>
          <w:numId w:val="1031"/>
        </w:numPr>
      </w:pPr>
      <w:r>
        <w:t xml:space="preserve">documentation updates where the contract is documented</w:t>
      </w:r>
    </w:p>
    <w:p>
      <w:pPr>
        <w:pStyle w:val="FirstParagraph"/>
      </w:pPr>
      <w:r>
        <w:t xml:space="preserve">Formal API versioning is not required for internal interfaces unless independent consumers exist.</w:t>
      </w:r>
    </w:p>
    <w:p>
      <w:pPr>
        <w:pStyle w:val="BodyText"/>
      </w:pPr>
      <w:r>
        <w:t xml:space="preserve">Future external APIs require an explicit versioning strategy before release.</w:t>
      </w:r>
    </w:p>
    <w:p>
      <w:r>
        <w:pict>
          <v:rect style="width:0;height:1.5pt" o:hralign="center" o:hrstd="t" o:hr="t"/>
        </w:pict>
      </w:r>
    </w:p>
    <w:bookmarkEnd w:id="45"/>
    <w:bookmarkStart w:id="46" w:name="backward-compatibility"/>
    <w:p>
      <w:pPr>
        <w:pStyle w:val="Heading1"/>
      </w:pPr>
      <w:r>
        <w:t xml:space="preserve">Backward Compatibility</w:t>
      </w:r>
    </w:p>
    <w:p>
      <w:pPr>
        <w:pStyle w:val="FirstParagraph"/>
      </w:pPr>
      <w:r>
        <w:t xml:space="preserve">Backward compatibility shall be evaluated based on actual consumers.</w:t>
      </w:r>
    </w:p>
    <w:p>
      <w:pPr>
        <w:pStyle w:val="BodyText"/>
      </w:pPr>
      <w:r>
        <w:t xml:space="preserve">Do not preserve obsolete internal interfaces solely for hypothetical future compatibility.</w:t>
      </w:r>
    </w:p>
    <w:p>
      <w:pPr>
        <w:pStyle w:val="BodyText"/>
      </w:pPr>
      <w:r>
        <w:t xml:space="preserve">Public or independently consumed interfaces require controlled migration.</w:t>
      </w:r>
    </w:p>
    <w:p>
      <w:pPr>
        <w:pStyle w:val="BodyText"/>
      </w:pPr>
      <w:r>
        <w:t xml:space="preserve">Compatibility requirements shall be explicit.</w:t>
      </w:r>
    </w:p>
    <w:p>
      <w:r>
        <w:pict>
          <v:rect style="width:0;height:1.5pt" o:hralign="center" o:hrstd="t" o:hr="t"/>
        </w:pict>
      </w:r>
    </w:p>
    <w:bookmarkEnd w:id="46"/>
    <w:bookmarkStart w:id="47" w:name="api-security"/>
    <w:p>
      <w:pPr>
        <w:pStyle w:val="Heading1"/>
      </w:pPr>
      <w:r>
        <w:t xml:space="preserve">API Security</w:t>
      </w:r>
    </w:p>
    <w:p>
      <w:pPr>
        <w:pStyle w:val="FirstParagraph"/>
      </w:pPr>
      <w:r>
        <w:t xml:space="preserve">APIs shall:</w:t>
      </w:r>
    </w:p>
    <w:p>
      <w:pPr>
        <w:pStyle w:val="Compact"/>
        <w:numPr>
          <w:ilvl w:val="0"/>
          <w:numId w:val="1032"/>
        </w:numPr>
      </w:pPr>
      <w:r>
        <w:t xml:space="preserve">validate external input</w:t>
      </w:r>
    </w:p>
    <w:p>
      <w:pPr>
        <w:pStyle w:val="Compact"/>
        <w:numPr>
          <w:ilvl w:val="0"/>
          <w:numId w:val="1032"/>
        </w:numPr>
      </w:pPr>
      <w:r>
        <w:t xml:space="preserve">reject invalid requests explicitly</w:t>
      </w:r>
    </w:p>
    <w:p>
      <w:pPr>
        <w:pStyle w:val="Compact"/>
        <w:numPr>
          <w:ilvl w:val="0"/>
          <w:numId w:val="1032"/>
        </w:numPr>
      </w:pPr>
      <w:r>
        <w:t xml:space="preserve">avoid exposing sensitive information</w:t>
      </w:r>
    </w:p>
    <w:p>
      <w:pPr>
        <w:pStyle w:val="Compact"/>
        <w:numPr>
          <w:ilvl w:val="0"/>
          <w:numId w:val="1032"/>
        </w:numPr>
      </w:pPr>
      <w:r>
        <w:t xml:space="preserve">preserve least-privilege principles</w:t>
      </w:r>
    </w:p>
    <w:p>
      <w:pPr>
        <w:pStyle w:val="Compact"/>
        <w:numPr>
          <w:ilvl w:val="0"/>
          <w:numId w:val="1032"/>
        </w:numPr>
      </w:pPr>
      <w:r>
        <w:t xml:space="preserve">avoid logging secrets</w:t>
      </w:r>
    </w:p>
    <w:p>
      <w:pPr>
        <w:pStyle w:val="FirstParagraph"/>
      </w:pPr>
      <w:r>
        <w:t xml:space="preserve">Broker credentials shall never be exposed through application-facing API contracts.</w:t>
      </w:r>
    </w:p>
    <w:p>
      <w:pPr>
        <w:pStyle w:val="BodyText"/>
      </w:pPr>
      <w:r>
        <w:t xml:space="preserve">Sensitive provider responses shall be normalized before presentation exposure where required.</w:t>
      </w:r>
    </w:p>
    <w:p>
      <w:r>
        <w:pict>
          <v:rect style="width:0;height:1.5pt" o:hralign="center" o:hrstd="t" o:hr="t"/>
        </w:pict>
      </w:r>
    </w:p>
    <w:bookmarkEnd w:id="47"/>
    <w:bookmarkStart w:id="48" w:name="testing"/>
    <w:p>
      <w:pPr>
        <w:pStyle w:val="Heading1"/>
      </w:pPr>
      <w:r>
        <w:t xml:space="preserve">Testing</w:t>
      </w:r>
    </w:p>
    <w:p>
      <w:pPr>
        <w:pStyle w:val="FirstParagraph"/>
      </w:pPr>
      <w:r>
        <w:t xml:space="preserve">Critical interfaces require automated tests.</w:t>
      </w:r>
    </w:p>
    <w:p>
      <w:pPr>
        <w:pStyle w:val="BodyText"/>
      </w:pPr>
      <w:r>
        <w:t xml:space="preserve">Tests shall verify where relevant:</w:t>
      </w:r>
    </w:p>
    <w:p>
      <w:pPr>
        <w:pStyle w:val="Compact"/>
        <w:numPr>
          <w:ilvl w:val="0"/>
          <w:numId w:val="1033"/>
        </w:numPr>
      </w:pPr>
      <w:r>
        <w:t xml:space="preserve">expected behaviour</w:t>
      </w:r>
    </w:p>
    <w:p>
      <w:pPr>
        <w:pStyle w:val="Compact"/>
        <w:numPr>
          <w:ilvl w:val="0"/>
          <w:numId w:val="1033"/>
        </w:numPr>
      </w:pPr>
      <w:r>
        <w:t xml:space="preserve">edge cases</w:t>
      </w:r>
    </w:p>
    <w:p>
      <w:pPr>
        <w:pStyle w:val="Compact"/>
        <w:numPr>
          <w:ilvl w:val="0"/>
          <w:numId w:val="1033"/>
        </w:numPr>
      </w:pPr>
      <w:r>
        <w:t xml:space="preserve">invalid input</w:t>
      </w:r>
    </w:p>
    <w:p>
      <w:pPr>
        <w:pStyle w:val="Compact"/>
        <w:numPr>
          <w:ilvl w:val="0"/>
          <w:numId w:val="1033"/>
        </w:numPr>
      </w:pPr>
      <w:r>
        <w:t xml:space="preserve">failure translation</w:t>
      </w:r>
    </w:p>
    <w:p>
      <w:pPr>
        <w:pStyle w:val="Compact"/>
        <w:numPr>
          <w:ilvl w:val="0"/>
          <w:numId w:val="1033"/>
        </w:numPr>
      </w:pPr>
      <w:r>
        <w:t xml:space="preserve">timeout behaviour</w:t>
      </w:r>
    </w:p>
    <w:p>
      <w:pPr>
        <w:pStyle w:val="Compact"/>
        <w:numPr>
          <w:ilvl w:val="0"/>
          <w:numId w:val="1033"/>
        </w:numPr>
      </w:pPr>
      <w:r>
        <w:t xml:space="preserve">cancellation</w:t>
      </w:r>
    </w:p>
    <w:p>
      <w:pPr>
        <w:pStyle w:val="Compact"/>
        <w:numPr>
          <w:ilvl w:val="0"/>
          <w:numId w:val="1033"/>
        </w:numPr>
      </w:pPr>
      <w:r>
        <w:t xml:space="preserve">state translation</w:t>
      </w:r>
    </w:p>
    <w:p>
      <w:pPr>
        <w:pStyle w:val="Compact"/>
        <w:numPr>
          <w:ilvl w:val="0"/>
          <w:numId w:val="1033"/>
        </w:numPr>
      </w:pPr>
      <w:r>
        <w:t xml:space="preserve">duplicate submission protection</w:t>
      </w:r>
    </w:p>
    <w:p>
      <w:pPr>
        <w:pStyle w:val="Compact"/>
        <w:numPr>
          <w:ilvl w:val="0"/>
          <w:numId w:val="1033"/>
        </w:numPr>
      </w:pPr>
      <w:r>
        <w:t xml:space="preserve">retry behaviour</w:t>
      </w:r>
    </w:p>
    <w:p>
      <w:pPr>
        <w:pStyle w:val="Compact"/>
        <w:numPr>
          <w:ilvl w:val="0"/>
          <w:numId w:val="1033"/>
        </w:numPr>
      </w:pPr>
      <w:r>
        <w:t xml:space="preserve">unavailable data handling</w:t>
      </w:r>
    </w:p>
    <w:p>
      <w:pPr>
        <w:pStyle w:val="FirstParagraph"/>
      </w:pPr>
      <w:r>
        <w:t xml:space="preserve">Adapter contract tests should verify provider translation boundaries.</w:t>
      </w:r>
    </w:p>
    <w:p>
      <w:pPr>
        <w:pStyle w:val="BodyText"/>
      </w:pPr>
      <w:r>
        <w:t xml:space="preserve">Tests shall not require LIVE trading.</w:t>
      </w:r>
    </w:p>
    <w:p>
      <w:r>
        <w:pict>
          <v:rect style="width:0;height:1.5pt" o:hralign="center" o:hrstd="t" o:hr="t"/>
        </w:pict>
      </w:r>
    </w:p>
    <w:bookmarkEnd w:id="48"/>
    <w:bookmarkStart w:id="49" w:name="api-evolution"/>
    <w:p>
      <w:pPr>
        <w:pStyle w:val="Heading1"/>
      </w:pPr>
      <w:r>
        <w:t xml:space="preserve">API Evolution</w:t>
      </w:r>
    </w:p>
    <w:p>
      <w:pPr>
        <w:pStyle w:val="FirstParagraph"/>
      </w:pPr>
      <w:r>
        <w:t xml:space="preserve">APIs evolve with concrete product workflows.</w:t>
      </w:r>
    </w:p>
    <w:p>
      <w:pPr>
        <w:pStyle w:val="BodyText"/>
      </w:pPr>
      <w:r>
        <w:t xml:space="preserve">Before extending an interface:</w:t>
      </w:r>
    </w:p>
    <w:p>
      <w:pPr>
        <w:pStyle w:val="Compact"/>
        <w:numPr>
          <w:ilvl w:val="0"/>
          <w:numId w:val="1034"/>
        </w:numPr>
      </w:pPr>
      <w:r>
        <w:t xml:space="preserve">Identify the new consumer requirement.</w:t>
      </w:r>
    </w:p>
    <w:p>
      <w:pPr>
        <w:pStyle w:val="Compact"/>
        <w:numPr>
          <w:ilvl w:val="0"/>
          <w:numId w:val="1034"/>
        </w:numPr>
      </w:pPr>
      <w:r>
        <w:t xml:space="preserve">Verify the existing interface responsibility.</w:t>
      </w:r>
    </w:p>
    <w:p>
      <w:pPr>
        <w:pStyle w:val="Compact"/>
        <w:numPr>
          <w:ilvl w:val="0"/>
          <w:numId w:val="1034"/>
        </w:numPr>
      </w:pPr>
      <w:r>
        <w:t xml:space="preserve">Prefer extending the correct capability boundary.</w:t>
      </w:r>
    </w:p>
    <w:p>
      <w:pPr>
        <w:pStyle w:val="Compact"/>
        <w:numPr>
          <w:ilvl w:val="0"/>
          <w:numId w:val="1034"/>
        </w:numPr>
      </w:pPr>
      <w:r>
        <w:t xml:space="preserve">Avoid unrelated operations on existing interfaces.</w:t>
      </w:r>
    </w:p>
    <w:p>
      <w:pPr>
        <w:pStyle w:val="Compact"/>
        <w:numPr>
          <w:ilvl w:val="0"/>
          <w:numId w:val="1034"/>
        </w:numPr>
      </w:pPr>
      <w:r>
        <w:t xml:space="preserve">Evaluate backward compatibility for real consumers.</w:t>
      </w:r>
    </w:p>
    <w:p>
      <w:pPr>
        <w:pStyle w:val="Compact"/>
        <w:numPr>
          <w:ilvl w:val="0"/>
          <w:numId w:val="1034"/>
        </w:numPr>
      </w:pPr>
      <w:r>
        <w:t xml:space="preserve">Update tests.</w:t>
      </w:r>
    </w:p>
    <w:p>
      <w:pPr>
        <w:pStyle w:val="Compact"/>
        <w:numPr>
          <w:ilvl w:val="0"/>
          <w:numId w:val="1034"/>
        </w:numPr>
      </w:pPr>
      <w:r>
        <w:t xml:space="preserve">Update documentation.</w:t>
      </w:r>
    </w:p>
    <w:p>
      <w:pPr>
        <w:pStyle w:val="FirstParagraph"/>
      </w:pPr>
      <w:r>
        <w:t xml:space="preserve">Avoid generic APIs created for hypothetical future reuse.</w:t>
      </w:r>
    </w:p>
    <w:p>
      <w:r>
        <w:pict>
          <v:rect style="width:0;height:1.5pt" o:hralign="center" o:hrstd="t" o:hr="t"/>
        </w:pict>
      </w:r>
    </w:p>
    <w:bookmarkEnd w:id="49"/>
    <w:bookmarkStart w:id="50" w:name="future-external-apis"/>
    <w:p>
      <w:pPr>
        <w:pStyle w:val="Heading1"/>
      </w:pPr>
      <w:r>
        <w:t xml:space="preserve">Future External APIs</w:t>
      </w:r>
    </w:p>
    <w:p>
      <w:pPr>
        <w:pStyle w:val="FirstParagraph"/>
      </w:pPr>
      <w:r>
        <w:t xml:space="preserve">Potential future interfaces may include:</w:t>
      </w:r>
    </w:p>
    <w:p>
      <w:pPr>
        <w:pStyle w:val="Compact"/>
        <w:numPr>
          <w:ilvl w:val="0"/>
          <w:numId w:val="1035"/>
        </w:numPr>
      </w:pPr>
      <w:r>
        <w:t xml:space="preserve">Plugin APIs</w:t>
      </w:r>
    </w:p>
    <w:p>
      <w:pPr>
        <w:pStyle w:val="Compact"/>
        <w:numPr>
          <w:ilvl w:val="0"/>
          <w:numId w:val="1035"/>
        </w:numPr>
      </w:pPr>
      <w:r>
        <w:t xml:space="preserve">REST APIs</w:t>
      </w:r>
    </w:p>
    <w:p>
      <w:pPr>
        <w:pStyle w:val="Compact"/>
        <w:numPr>
          <w:ilvl w:val="0"/>
          <w:numId w:val="1035"/>
        </w:numPr>
      </w:pPr>
      <w:r>
        <w:t xml:space="preserve">WebSocket APIs</w:t>
      </w:r>
    </w:p>
    <w:p>
      <w:pPr>
        <w:pStyle w:val="FirstParagraph"/>
      </w:pPr>
      <w:r>
        <w:t xml:space="preserve">These interfaces are not part of the initial Trading Cockpit architecture.</w:t>
      </w:r>
    </w:p>
    <w:p>
      <w:pPr>
        <w:pStyle w:val="BodyText"/>
      </w:pPr>
      <w:r>
        <w:t xml:space="preserve">Before introducing an external API define:</w:t>
      </w:r>
    </w:p>
    <w:p>
      <w:pPr>
        <w:pStyle w:val="Compact"/>
        <w:numPr>
          <w:ilvl w:val="0"/>
          <w:numId w:val="1036"/>
        </w:numPr>
      </w:pPr>
      <w:r>
        <w:t xml:space="preserve">product requirement</w:t>
      </w:r>
    </w:p>
    <w:p>
      <w:pPr>
        <w:pStyle w:val="Compact"/>
        <w:numPr>
          <w:ilvl w:val="0"/>
          <w:numId w:val="1036"/>
        </w:numPr>
      </w:pPr>
      <w:r>
        <w:t xml:space="preserve">consumer</w:t>
      </w:r>
    </w:p>
    <w:p>
      <w:pPr>
        <w:pStyle w:val="Compact"/>
        <w:numPr>
          <w:ilvl w:val="0"/>
          <w:numId w:val="1036"/>
        </w:numPr>
      </w:pPr>
      <w:r>
        <w:t xml:space="preserve">authentication</w:t>
      </w:r>
    </w:p>
    <w:p>
      <w:pPr>
        <w:pStyle w:val="Compact"/>
        <w:numPr>
          <w:ilvl w:val="0"/>
          <w:numId w:val="1036"/>
        </w:numPr>
      </w:pPr>
      <w:r>
        <w:t xml:space="preserve">authorization</w:t>
      </w:r>
    </w:p>
    <w:p>
      <w:pPr>
        <w:pStyle w:val="Compact"/>
        <w:numPr>
          <w:ilvl w:val="0"/>
          <w:numId w:val="1036"/>
        </w:numPr>
      </w:pPr>
      <w:r>
        <w:t xml:space="preserve">versioning</w:t>
      </w:r>
    </w:p>
    <w:p>
      <w:pPr>
        <w:pStyle w:val="Compact"/>
        <w:numPr>
          <w:ilvl w:val="0"/>
          <w:numId w:val="1036"/>
        </w:numPr>
      </w:pPr>
      <w:r>
        <w:t xml:space="preserve">compatibility policy</w:t>
      </w:r>
    </w:p>
    <w:p>
      <w:pPr>
        <w:pStyle w:val="Compact"/>
        <w:numPr>
          <w:ilvl w:val="0"/>
          <w:numId w:val="1036"/>
        </w:numPr>
      </w:pPr>
      <w:r>
        <w:t xml:space="preserve">rate limits where relevant</w:t>
      </w:r>
    </w:p>
    <w:p>
      <w:pPr>
        <w:pStyle w:val="Compact"/>
        <w:numPr>
          <w:ilvl w:val="0"/>
          <w:numId w:val="1036"/>
        </w:numPr>
      </w:pPr>
      <w:r>
        <w:t xml:space="preserve">transport error model</w:t>
      </w:r>
    </w:p>
    <w:p>
      <w:pPr>
        <w:pStyle w:val="Compact"/>
        <w:numPr>
          <w:ilvl w:val="0"/>
          <w:numId w:val="1036"/>
        </w:numPr>
      </w:pPr>
      <w:r>
        <w:t xml:space="preserve">security review</w:t>
      </w:r>
    </w:p>
    <w:p>
      <w:pPr>
        <w:pStyle w:val="FirstParagraph"/>
      </w:pPr>
      <w:r>
        <w:t xml:space="preserve">External API contracts shall not expose internal implementation models directly.</w:t>
      </w:r>
    </w:p>
    <w:p>
      <w:r>
        <w:pict>
          <v:rect style="width:0;height:1.5pt" o:hralign="center" o:hrstd="t" o:hr="t"/>
        </w:pict>
      </w:r>
    </w:p>
    <w:bookmarkEnd w:id="50"/>
    <w:bookmarkStart w:id="51" w:name="api-review-checklist"/>
    <w:p>
      <w:pPr>
        <w:pStyle w:val="Heading1"/>
      </w:pPr>
      <w:r>
        <w:t xml:space="preserve">API Review Checklist</w:t>
      </w:r>
    </w:p>
    <w:p>
      <w:pPr>
        <w:pStyle w:val="FirstParagraph"/>
      </w:pPr>
      <w:r>
        <w:t xml:space="preserve">Before introducing or changing an API verify:</w:t>
      </w:r>
    </w:p>
    <w:p>
      <w:pPr>
        <w:pStyle w:val="Compact"/>
        <w:numPr>
          <w:ilvl w:val="0"/>
          <w:numId w:val="1037"/>
        </w:numPr>
      </w:pPr>
      <w:r>
        <w:t xml:space="preserve">product or technical requirement identified</w:t>
      </w:r>
    </w:p>
    <w:p>
      <w:pPr>
        <w:pStyle w:val="Compact"/>
        <w:numPr>
          <w:ilvl w:val="0"/>
          <w:numId w:val="1037"/>
        </w:numPr>
      </w:pPr>
      <w:r>
        <w:t xml:space="preserve">consumer identified</w:t>
      </w:r>
    </w:p>
    <w:p>
      <w:pPr>
        <w:pStyle w:val="Compact"/>
        <w:numPr>
          <w:ilvl w:val="0"/>
          <w:numId w:val="1037"/>
        </w:numPr>
      </w:pPr>
      <w:r>
        <w:t xml:space="preserve">owner identified</w:t>
      </w:r>
    </w:p>
    <w:p>
      <w:pPr>
        <w:pStyle w:val="Compact"/>
        <w:numPr>
          <w:ilvl w:val="0"/>
          <w:numId w:val="1037"/>
        </w:numPr>
      </w:pPr>
      <w:r>
        <w:t xml:space="preserve">capability boundary identified</w:t>
      </w:r>
    </w:p>
    <w:p>
      <w:pPr>
        <w:pStyle w:val="Compact"/>
        <w:numPr>
          <w:ilvl w:val="0"/>
          <w:numId w:val="1037"/>
        </w:numPr>
      </w:pPr>
      <w:r>
        <w:t xml:space="preserve">interface remains minimal</w:t>
      </w:r>
    </w:p>
    <w:p>
      <w:pPr>
        <w:pStyle w:val="Compact"/>
        <w:numPr>
          <w:ilvl w:val="0"/>
          <w:numId w:val="1037"/>
        </w:numPr>
      </w:pPr>
      <w:r>
        <w:t xml:space="preserve">naming is explicit</w:t>
      </w:r>
    </w:p>
    <w:p>
      <w:pPr>
        <w:pStyle w:val="Compact"/>
        <w:numPr>
          <w:ilvl w:val="0"/>
          <w:numId w:val="1037"/>
        </w:numPr>
      </w:pPr>
      <w:r>
        <w:t xml:space="preserve">parameters are strongly typed</w:t>
      </w:r>
    </w:p>
    <w:p>
      <w:pPr>
        <w:pStyle w:val="Compact"/>
        <w:numPr>
          <w:ilvl w:val="0"/>
          <w:numId w:val="1037"/>
        </w:numPr>
      </w:pPr>
      <w:r>
        <w:t xml:space="preserve">return state is meaningful</w:t>
      </w:r>
    </w:p>
    <w:p>
      <w:pPr>
        <w:pStyle w:val="Compact"/>
        <w:numPr>
          <w:ilvl w:val="0"/>
          <w:numId w:val="1037"/>
        </w:numPr>
      </w:pPr>
      <w:r>
        <w:t xml:space="preserve">Domain types remain technology-independent</w:t>
      </w:r>
    </w:p>
    <w:p>
      <w:pPr>
        <w:pStyle w:val="Compact"/>
        <w:numPr>
          <w:ilvl w:val="0"/>
          <w:numId w:val="1037"/>
        </w:numPr>
      </w:pPr>
      <w:r>
        <w:t xml:space="preserve">provider models remain in Infrastructure</w:t>
      </w:r>
    </w:p>
    <w:p>
      <w:pPr>
        <w:pStyle w:val="Compact"/>
        <w:numPr>
          <w:ilvl w:val="0"/>
          <w:numId w:val="1037"/>
        </w:numPr>
      </w:pPr>
      <w:r>
        <w:t xml:space="preserve">persistence models remain in Infrastructure</w:t>
      </w:r>
    </w:p>
    <w:p>
      <w:pPr>
        <w:pStyle w:val="Compact"/>
        <w:numPr>
          <w:ilvl w:val="0"/>
          <w:numId w:val="1037"/>
        </w:numPr>
      </w:pPr>
      <w:r>
        <w:t xml:space="preserve">async boundary is justified</w:t>
      </w:r>
    </w:p>
    <w:p>
      <w:pPr>
        <w:pStyle w:val="Compact"/>
        <w:numPr>
          <w:ilvl w:val="0"/>
          <w:numId w:val="1037"/>
        </w:numPr>
      </w:pPr>
      <w:r>
        <w:t xml:space="preserve">cancellation considered</w:t>
      </w:r>
    </w:p>
    <w:p>
      <w:pPr>
        <w:pStyle w:val="Compact"/>
        <w:numPr>
          <w:ilvl w:val="0"/>
          <w:numId w:val="1037"/>
        </w:numPr>
      </w:pPr>
      <w:r>
        <w:t xml:space="preserve">timeout behaviour considered</w:t>
      </w:r>
    </w:p>
    <w:p>
      <w:pPr>
        <w:pStyle w:val="Compact"/>
        <w:numPr>
          <w:ilvl w:val="0"/>
          <w:numId w:val="1037"/>
        </w:numPr>
      </w:pPr>
      <w:r>
        <w:t xml:space="preserve">failure behaviour defined</w:t>
      </w:r>
    </w:p>
    <w:p>
      <w:pPr>
        <w:pStyle w:val="Compact"/>
        <w:numPr>
          <w:ilvl w:val="0"/>
          <w:numId w:val="1037"/>
        </w:numPr>
      </w:pPr>
      <w:r>
        <w:t xml:space="preserve">error translation defined where required</w:t>
      </w:r>
    </w:p>
    <w:p>
      <w:pPr>
        <w:pStyle w:val="Compact"/>
        <w:numPr>
          <w:ilvl w:val="0"/>
          <w:numId w:val="1037"/>
        </w:numPr>
      </w:pPr>
      <w:r>
        <w:t xml:space="preserve">idempotency evaluated</w:t>
      </w:r>
    </w:p>
    <w:p>
      <w:pPr>
        <w:pStyle w:val="Compact"/>
        <w:numPr>
          <w:ilvl w:val="0"/>
          <w:numId w:val="1037"/>
        </w:numPr>
      </w:pPr>
      <w:r>
        <w:t xml:space="preserve">retry behaviour evaluated</w:t>
      </w:r>
    </w:p>
    <w:p>
      <w:pPr>
        <w:pStyle w:val="Compact"/>
        <w:numPr>
          <w:ilvl w:val="0"/>
          <w:numId w:val="1037"/>
        </w:numPr>
      </w:pPr>
      <w:r>
        <w:t xml:space="preserve">duplicate execution risk evaluated</w:t>
      </w:r>
    </w:p>
    <w:p>
      <w:pPr>
        <w:pStyle w:val="Compact"/>
        <w:numPr>
          <w:ilvl w:val="0"/>
          <w:numId w:val="1037"/>
        </w:numPr>
      </w:pPr>
      <w:r>
        <w:t xml:space="preserve">unavailable data remains explicit</w:t>
      </w:r>
    </w:p>
    <w:p>
      <w:pPr>
        <w:pStyle w:val="Compact"/>
        <w:numPr>
          <w:ilvl w:val="0"/>
          <w:numId w:val="1037"/>
        </w:numPr>
      </w:pPr>
      <w:r>
        <w:t xml:space="preserve">timestamp semantics remain explicit</w:t>
      </w:r>
    </w:p>
    <w:p>
      <w:pPr>
        <w:pStyle w:val="Compact"/>
        <w:numPr>
          <w:ilvl w:val="0"/>
          <w:numId w:val="1037"/>
        </w:numPr>
      </w:pPr>
      <w:r>
        <w:t xml:space="preserve">security impact evaluated</w:t>
      </w:r>
    </w:p>
    <w:p>
      <w:pPr>
        <w:pStyle w:val="Compact"/>
        <w:numPr>
          <w:ilvl w:val="0"/>
          <w:numId w:val="1037"/>
        </w:numPr>
      </w:pPr>
      <w:r>
        <w:t xml:space="preserve">automated tests added</w:t>
      </w:r>
    </w:p>
    <w:p>
      <w:pPr>
        <w:pStyle w:val="Compact"/>
        <w:numPr>
          <w:ilvl w:val="0"/>
          <w:numId w:val="1037"/>
        </w:numPr>
      </w:pPr>
      <w:r>
        <w:t xml:space="preserve">documentation synchronized</w:t>
      </w:r>
    </w:p>
    <w:p>
      <w:r>
        <w:pict>
          <v:rect style="width:0;height:1.5pt" o:hralign="center" o:hrstd="t" o:hr="t"/>
        </w:pict>
      </w:r>
    </w:p>
    <w:bookmarkEnd w:id="51"/>
    <w:bookmarkStart w:id="52" w:name="related-documents"/>
    <w:p>
      <w:pPr>
        <w:pStyle w:val="Heading1"/>
      </w:pPr>
      <w:r>
        <w:t xml:space="preserve">Related Documents</w:t>
      </w:r>
    </w:p>
    <w:p>
      <w:pPr>
        <w:pStyle w:val="Compact"/>
        <w:numPr>
          <w:ilvl w:val="0"/>
          <w:numId w:val="1038"/>
        </w:numPr>
      </w:pPr>
      <w:r>
        <w:t xml:space="preserve">Product_Vision.md</w:t>
      </w:r>
    </w:p>
    <w:p>
      <w:pPr>
        <w:pStyle w:val="Compact"/>
        <w:numPr>
          <w:ilvl w:val="0"/>
          <w:numId w:val="1038"/>
        </w:numPr>
      </w:pPr>
      <w:r>
        <w:t xml:space="preserve">Product_Roadmap.md</w:t>
      </w:r>
    </w:p>
    <w:p>
      <w:pPr>
        <w:pStyle w:val="Compact"/>
        <w:numPr>
          <w:ilvl w:val="0"/>
          <w:numId w:val="1038"/>
        </w:numPr>
      </w:pPr>
      <w:r>
        <w:t xml:space="preserve">Project_Overview.md</w:t>
      </w:r>
    </w:p>
    <w:p>
      <w:pPr>
        <w:pStyle w:val="Compact"/>
        <w:numPr>
          <w:ilvl w:val="0"/>
          <w:numId w:val="1038"/>
        </w:numPr>
      </w:pPr>
      <w:r>
        <w:t xml:space="preserve">Architecture.md</w:t>
      </w:r>
    </w:p>
    <w:p>
      <w:pPr>
        <w:pStyle w:val="Compact"/>
        <w:numPr>
          <w:ilvl w:val="0"/>
          <w:numId w:val="1038"/>
        </w:numPr>
      </w:pPr>
      <w:r>
        <w:t xml:space="preserve">Domain_Model.md</w:t>
      </w:r>
    </w:p>
    <w:p>
      <w:pPr>
        <w:pStyle w:val="Compact"/>
        <w:numPr>
          <w:ilvl w:val="0"/>
          <w:numId w:val="1038"/>
        </w:numPr>
      </w:pPr>
      <w:r>
        <w:t xml:space="preserve">Infrastructure.md</w:t>
      </w:r>
    </w:p>
    <w:p>
      <w:pPr>
        <w:pStyle w:val="Compact"/>
        <w:numPr>
          <w:ilvl w:val="0"/>
          <w:numId w:val="1038"/>
        </w:numPr>
      </w:pPr>
      <w:r>
        <w:t xml:space="preserve">Technical_Specifications.md</w:t>
      </w:r>
    </w:p>
    <w:p>
      <w:pPr>
        <w:pStyle w:val="Compact"/>
        <w:numPr>
          <w:ilvl w:val="0"/>
          <w:numId w:val="1038"/>
        </w:numPr>
      </w:pPr>
      <w:r>
        <w:t xml:space="preserve">Widget_Catalog.md</w:t>
      </w:r>
    </w:p>
    <w:p>
      <w:pPr>
        <w:pStyle w:val="Compact"/>
        <w:numPr>
          <w:ilvl w:val="0"/>
          <w:numId w:val="1038"/>
        </w:numPr>
      </w:pPr>
      <w:r>
        <w:t xml:space="preserve">UI_Guidelines.md</w:t>
      </w:r>
    </w:p>
    <w:p>
      <w:pPr>
        <w:pStyle w:val="Compact"/>
        <w:numPr>
          <w:ilvl w:val="0"/>
          <w:numId w:val="1038"/>
        </w:numPr>
      </w:pPr>
      <w:r>
        <w:t xml:space="preserve">Coding_Standards.md</w:t>
      </w:r>
    </w:p>
    <w:p>
      <w:pPr>
        <w:pStyle w:val="Compact"/>
        <w:numPr>
          <w:ilvl w:val="0"/>
          <w:numId w:val="1038"/>
        </w:numPr>
      </w:pPr>
      <w:r>
        <w:t xml:space="preserve">Development_Guidelines.md</w:t>
      </w:r>
    </w:p>
    <w:p>
      <w:pPr>
        <w:pStyle w:val="Compact"/>
        <w:numPr>
          <w:ilvl w:val="0"/>
          <w:numId w:val="1038"/>
        </w:numPr>
      </w:pPr>
      <w:r>
        <w:t xml:space="preserve">Testing_Strategy.md</w:t>
      </w:r>
    </w:p>
    <w:p>
      <w:pPr>
        <w:pStyle w:val="Compact"/>
        <w:numPr>
          <w:ilvl w:val="0"/>
          <w:numId w:val="1038"/>
        </w:numPr>
      </w:pPr>
      <w:r>
        <w:t xml:space="preserve">AGENTS.md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2026-07-06T17:13:58Z</dcterms:created>
  <dcterms:modified xsi:type="dcterms:W3CDTF">2026-07-06T17:13:58Z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