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oftware-architecture"/>
    <w:p>
      <w:pPr>
        <w:pStyle w:val="Heading1"/>
      </w:pPr>
      <w:r>
        <w:t xml:space="preserve">Software Architecture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software architecture of Trading Platform Pro and its primary application, the Trading Cockpit.</w:t>
      </w:r>
    </w:p>
    <w:p>
      <w:pPr>
        <w:pStyle w:val="BodyText"/>
      </w:pPr>
      <w:r>
        <w:t xml:space="preserve">The architecture shall support incremental development of concrete trading workflows while preserving maintainability, deterministic behaviour and explicit system boundaries.</w:t>
      </w:r>
    </w:p>
    <w:p>
      <w:pPr>
        <w:pStyle w:val="BodyText"/>
      </w:pPr>
      <w:r>
        <w:t xml:space="preserve">Architecture exists to support product development.</w:t>
      </w:r>
    </w:p>
    <w:p>
      <w:pPr>
        <w:pStyle w:val="BodyText"/>
      </w:pPr>
      <w:r>
        <w:t xml:space="preserve">The platform shall not be generalized prematurely for hypothetical future applications.</w:t>
      </w:r>
    </w:p>
    <w:p>
      <w:r>
        <w:pict>
          <v:rect style="width:0;height:1.5pt" o:hralign="center" o:hrstd="t" o:hr="t"/>
        </w:pict>
      </w:r>
    </w:p>
    <w:bookmarkEnd w:id="10"/>
    <w:bookmarkStart w:id="11" w:name="architectural-goals"/>
    <w:p>
      <w:pPr>
        <w:pStyle w:val="Heading1"/>
      </w:pPr>
      <w:r>
        <w:t xml:space="preserve">Architectural Goals</w:t>
      </w:r>
    </w:p>
    <w:p>
      <w:pPr>
        <w:pStyle w:val="FirstParagraph"/>
      </w:pPr>
      <w:r>
        <w:t xml:space="preserve">The architecture is designed to achieve:</w:t>
      </w:r>
    </w:p>
    <w:p>
      <w:pPr>
        <w:pStyle w:val="Compact"/>
        <w:numPr>
          <w:ilvl w:val="0"/>
          <w:numId w:val="1001"/>
        </w:numPr>
      </w:pPr>
      <w:r>
        <w:t xml:space="preserve">Long-term maintainability</w:t>
      </w:r>
    </w:p>
    <w:p>
      <w:pPr>
        <w:pStyle w:val="Compact"/>
        <w:numPr>
          <w:ilvl w:val="0"/>
          <w:numId w:val="1001"/>
        </w:numPr>
      </w:pPr>
      <w:r>
        <w:t xml:space="preserve">Deterministic behaviour</w:t>
      </w:r>
    </w:p>
    <w:p>
      <w:pPr>
        <w:pStyle w:val="Compact"/>
        <w:numPr>
          <w:ilvl w:val="0"/>
          <w:numId w:val="1001"/>
        </w:numPr>
      </w:pPr>
      <w:r>
        <w:t xml:space="preserve">Strong separation of concerns</w:t>
      </w:r>
    </w:p>
    <w:p>
      <w:pPr>
        <w:pStyle w:val="Compact"/>
        <w:numPr>
          <w:ilvl w:val="0"/>
          <w:numId w:val="1001"/>
        </w:numPr>
      </w:pPr>
      <w:r>
        <w:t xml:space="preserve">Explicit dependencies</w:t>
      </w:r>
    </w:p>
    <w:p>
      <w:pPr>
        <w:pStyle w:val="Compact"/>
        <w:numPr>
          <w:ilvl w:val="0"/>
          <w:numId w:val="1001"/>
        </w:numPr>
      </w:pPr>
      <w:r>
        <w:t xml:space="preserve">High testability</w:t>
      </w:r>
    </w:p>
    <w:p>
      <w:pPr>
        <w:pStyle w:val="Compact"/>
        <w:numPr>
          <w:ilvl w:val="0"/>
          <w:numId w:val="1001"/>
        </w:numPr>
      </w:pPr>
      <w:r>
        <w:t xml:space="preserve">Operational transparency</w:t>
      </w:r>
    </w:p>
    <w:p>
      <w:pPr>
        <w:pStyle w:val="Compact"/>
        <w:numPr>
          <w:ilvl w:val="0"/>
          <w:numId w:val="1001"/>
        </w:numPr>
      </w:pPr>
      <w:r>
        <w:t xml:space="preserve">Incremental product delivery</w:t>
      </w:r>
    </w:p>
    <w:p>
      <w:pPr>
        <w:pStyle w:val="Compact"/>
        <w:numPr>
          <w:ilvl w:val="0"/>
          <w:numId w:val="1001"/>
        </w:numPr>
      </w:pPr>
      <w:r>
        <w:t xml:space="preserve">Controlled extensibility</w:t>
      </w:r>
    </w:p>
    <w:p>
      <w:pPr>
        <w:pStyle w:val="Compact"/>
        <w:numPr>
          <w:ilvl w:val="0"/>
          <w:numId w:val="1001"/>
        </w:numPr>
      </w:pPr>
      <w:r>
        <w:t xml:space="preserve">Professional software quality</w:t>
      </w:r>
    </w:p>
    <w:p>
      <w:r>
        <w:pict>
          <v:rect style="width:0;height:1.5pt" o:hralign="center" o:hrstd="t" o:hr="t"/>
        </w:pict>
      </w:r>
    </w:p>
    <w:bookmarkEnd w:id="11"/>
    <w:bookmarkStart w:id="12" w:name="product-driven-architecture"/>
    <w:p>
      <w:pPr>
        <w:pStyle w:val="Heading1"/>
      </w:pPr>
      <w:r>
        <w:t xml:space="preserve">Product-Driven Architecture</w:t>
      </w:r>
    </w:p>
    <w:p>
      <w:pPr>
        <w:pStyle w:val="FirstParagraph"/>
      </w:pPr>
      <w:r>
        <w:t xml:space="preserve">The Trading Cockpit is the primary application.</w:t>
      </w:r>
    </w:p>
    <w:p>
      <w:pPr>
        <w:pStyle w:val="BodyText"/>
      </w:pPr>
      <w:r>
        <w:t xml:space="preserve">Architecture capabilities shall evolve from concrete product workflows such as:</w:t>
      </w:r>
    </w:p>
    <w:p>
      <w:pPr>
        <w:pStyle w:val="Compact"/>
        <w:numPr>
          <w:ilvl w:val="0"/>
          <w:numId w:val="1002"/>
        </w:numPr>
      </w:pPr>
      <w:r>
        <w:t xml:space="preserve">market observation</w:t>
      </w:r>
    </w:p>
    <w:p>
      <w:pPr>
        <w:pStyle w:val="Compact"/>
        <w:numPr>
          <w:ilvl w:val="0"/>
          <w:numId w:val="1002"/>
        </w:numPr>
      </w:pPr>
      <w:r>
        <w:t xml:space="preserve">instrument selection</w:t>
      </w:r>
    </w:p>
    <w:p>
      <w:pPr>
        <w:pStyle w:val="Compact"/>
        <w:numPr>
          <w:ilvl w:val="0"/>
          <w:numId w:val="1002"/>
        </w:numPr>
      </w:pPr>
      <w:r>
        <w:t xml:space="preserve">trading candidate evaluation</w:t>
      </w:r>
    </w:p>
    <w:p>
      <w:pPr>
        <w:pStyle w:val="Compact"/>
        <w:numPr>
          <w:ilvl w:val="0"/>
          <w:numId w:val="1002"/>
        </w:numPr>
      </w:pPr>
      <w:r>
        <w:t xml:space="preserve">portfolio context</w:t>
      </w:r>
    </w:p>
    <w:p>
      <w:pPr>
        <w:pStyle w:val="Compact"/>
        <w:numPr>
          <w:ilvl w:val="0"/>
          <w:numId w:val="1002"/>
        </w:numPr>
      </w:pPr>
      <w:r>
        <w:t xml:space="preserve">risk context</w:t>
      </w:r>
    </w:p>
    <w:p>
      <w:pPr>
        <w:pStyle w:val="Compact"/>
        <w:numPr>
          <w:ilvl w:val="0"/>
          <w:numId w:val="1002"/>
        </w:numPr>
      </w:pPr>
      <w:r>
        <w:t xml:space="preserve">order execution</w:t>
      </w:r>
    </w:p>
    <w:p>
      <w:pPr>
        <w:pStyle w:val="Compact"/>
        <w:numPr>
          <w:ilvl w:val="0"/>
          <w:numId w:val="1002"/>
        </w:numPr>
      </w:pPr>
      <w:r>
        <w:t xml:space="preserve">position monitoring</w:t>
      </w:r>
    </w:p>
    <w:p>
      <w:pPr>
        <w:pStyle w:val="Compact"/>
        <w:numPr>
          <w:ilvl w:val="0"/>
          <w:numId w:val="1002"/>
        </w:numPr>
      </w:pPr>
      <w:r>
        <w:t xml:space="preserve">trading review</w:t>
      </w:r>
    </w:p>
    <w:p>
      <w:pPr>
        <w:pStyle w:val="FirstParagraph"/>
      </w:pPr>
      <w:r>
        <w:t xml:space="preserve">Technical capabilities shall not be introduced without a defined architectural or product requirement.</w:t>
      </w:r>
    </w:p>
    <w:p>
      <w:r>
        <w:pict>
          <v:rect style="width:0;height:1.5pt" o:hralign="center" o:hrstd="t" o:hr="t"/>
        </w:pict>
      </w:r>
    </w:p>
    <w:bookmarkEnd w:id="12"/>
    <w:bookmarkStart w:id="13" w:name="architectural-style"/>
    <w:p>
      <w:pPr>
        <w:pStyle w:val="Heading1"/>
      </w:pPr>
      <w:r>
        <w:t xml:space="preserve">Architectural Style</w:t>
      </w:r>
    </w:p>
    <w:p>
      <w:pPr>
        <w:pStyle w:val="FirstParagraph"/>
      </w:pPr>
      <w:r>
        <w:t xml:space="preserve">Trading Platform Pro follows:</w:t>
      </w:r>
    </w:p>
    <w:p>
      <w:pPr>
        <w:pStyle w:val="Compact"/>
        <w:numPr>
          <w:ilvl w:val="0"/>
          <w:numId w:val="1003"/>
        </w:numPr>
      </w:pPr>
      <w:r>
        <w:t xml:space="preserve">Clean Architecture</w:t>
      </w:r>
    </w:p>
    <w:p>
      <w:pPr>
        <w:pStyle w:val="Compact"/>
        <w:numPr>
          <w:ilvl w:val="0"/>
          <w:numId w:val="1003"/>
        </w:numPr>
      </w:pPr>
      <w:r>
        <w:t xml:space="preserve">Domain-Driven Design</w:t>
      </w:r>
    </w:p>
    <w:p>
      <w:pPr>
        <w:pStyle w:val="Compact"/>
        <w:numPr>
          <w:ilvl w:val="0"/>
          <w:numId w:val="1003"/>
        </w:numPr>
      </w:pPr>
      <w:r>
        <w:t xml:space="preserve">Modular Monolith</w:t>
      </w:r>
    </w:p>
    <w:p>
      <w:pPr>
        <w:pStyle w:val="Compact"/>
        <w:numPr>
          <w:ilvl w:val="0"/>
          <w:numId w:val="1003"/>
        </w:numPr>
      </w:pPr>
      <w:r>
        <w:t xml:space="preserve">Event-Driven Architecture</w:t>
      </w:r>
    </w:p>
    <w:p>
      <w:pPr>
        <w:pStyle w:val="Compact"/>
        <w:numPr>
          <w:ilvl w:val="0"/>
          <w:numId w:val="1003"/>
        </w:numPr>
      </w:pPr>
      <w:r>
        <w:t xml:space="preserve">Dependency Injection</w:t>
      </w:r>
    </w:p>
    <w:p>
      <w:pPr>
        <w:pStyle w:val="Compact"/>
        <w:numPr>
          <w:ilvl w:val="0"/>
          <w:numId w:val="1003"/>
        </w:numPr>
      </w:pPr>
      <w:r>
        <w:t xml:space="preserve">Explicit Dependencies</w:t>
      </w:r>
    </w:p>
    <w:p>
      <w:pPr>
        <w:pStyle w:val="FirstParagraph"/>
      </w:pPr>
      <w:r>
        <w:t xml:space="preserve">The Modular Monolith is the default deployment architecture.</w:t>
      </w:r>
    </w:p>
    <w:p>
      <w:pPr>
        <w:pStyle w:val="BodyText"/>
      </w:pPr>
      <w:r>
        <w:t xml:space="preserve">Distribution into independent services requires explicit architectural justification.</w:t>
      </w:r>
    </w:p>
    <w:p>
      <w:r>
        <w:pict>
          <v:rect style="width:0;height:1.5pt" o:hralign="center" o:hrstd="t" o:hr="t"/>
        </w:pict>
      </w:r>
    </w:p>
    <w:bookmarkEnd w:id="13"/>
    <w:bookmarkStart w:id="14" w:name="high-level-architecture"/>
    <w:p>
      <w:pPr>
        <w:pStyle w:val="Heading1"/>
      </w:pPr>
      <w:r>
        <w:t xml:space="preserve">High-Level Architecture</w:t>
      </w:r>
    </w:p>
    <w:p>
      <w:pPr>
        <w:pStyle w:val="FirstParagraph"/>
      </w:pPr>
      <w:r>
        <w:t xml:space="preserve">```text</w:t>
      </w:r>
      <w:r>
        <w:t xml:space="preserve"> </w:t>
      </w:r>
      <w:r>
        <w:t xml:space="preserve">Presentation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Application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Domain</w:t>
      </w:r>
    </w:p>
    <w:p>
      <w:pPr>
        <w:pStyle w:val="BodyText"/>
      </w:pPr>
      <w:r>
        <w:t xml:space="preserve">Infrastructure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Application / Domain Ports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2026-07-06T17:13:58Z</dcterms:created>
  <dcterms:modified xsi:type="dcterms:W3CDTF">2026-07-06T17:13:58Z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