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domain-model"/>
    <w:p>
      <w:pPr>
        <w:pStyle w:val="Heading1"/>
      </w:pPr>
      <w:r>
        <w:t xml:space="preserve">Domain Model</w:t>
      </w:r>
    </w:p>
    <w:p>
      <w:pPr>
        <w:pStyle w:val="FirstParagraph"/>
      </w:pPr>
      <w:r>
        <w:t xml:space="preserve">Version: 1.0</w:t>
      </w:r>
    </w:p>
    <w:p>
      <w:r>
        <w:pict>
          <v:rect style="width:0;height:1.5pt" o:hralign="center" o:hrstd="t" o:hr="t"/>
        </w:pict>
      </w:r>
    </w:p>
    <w:bookmarkEnd w:id="9"/>
    <w:bookmarkStart w:id="10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document defines the business domain model of Trading Platform Pro and its primary application, the Trading Cockpit.</w:t>
      </w:r>
    </w:p>
    <w:p>
      <w:pPr>
        <w:pStyle w:val="BodyText"/>
      </w:pPr>
      <w:r>
        <w:t xml:space="preserve">The Domain Model represents trading concepts, business rules, state transitions and invariants.</w:t>
      </w:r>
    </w:p>
    <w:p>
      <w:pPr>
        <w:pStyle w:val="BodyText"/>
      </w:pPr>
      <w:r>
        <w:t xml:space="preserve">The Domain remains independent from technical implementation details, UI frameworks, persistence technologies and external providers.</w:t>
      </w:r>
    </w:p>
    <w:p>
      <w:r>
        <w:pict>
          <v:rect style="width:0;height:1.5pt" o:hralign="center" o:hrstd="t" o:hr="t"/>
        </w:pict>
      </w:r>
    </w:p>
    <w:bookmarkEnd w:id="10"/>
    <w:bookmarkStart w:id="11" w:name="domain-philosophy"/>
    <w:p>
      <w:pPr>
        <w:pStyle w:val="Heading1"/>
      </w:pPr>
      <w:r>
        <w:t xml:space="preserve">Domain Philosophy</w:t>
      </w:r>
    </w:p>
    <w:p>
      <w:pPr>
        <w:pStyle w:val="FirstParagraph"/>
      </w:pPr>
      <w:r>
        <w:t xml:space="preserve">The Domain contains business knowledge.</w:t>
      </w:r>
    </w:p>
    <w:p>
      <w:pPr>
        <w:pStyle w:val="BodyText"/>
      </w:pPr>
      <w:r>
        <w:t xml:space="preserve">It defines:</w:t>
      </w:r>
    </w:p>
    <w:p>
      <w:pPr>
        <w:pStyle w:val="Compact"/>
        <w:numPr>
          <w:ilvl w:val="0"/>
          <w:numId w:val="1001"/>
        </w:numPr>
      </w:pPr>
      <w:r>
        <w:t xml:space="preserve">Entities</w:t>
      </w:r>
    </w:p>
    <w:p>
      <w:pPr>
        <w:pStyle w:val="Compact"/>
        <w:numPr>
          <w:ilvl w:val="0"/>
          <w:numId w:val="1001"/>
        </w:numPr>
      </w:pPr>
      <w:r>
        <w:t xml:space="preserve">Value Objects</w:t>
      </w:r>
    </w:p>
    <w:p>
      <w:pPr>
        <w:pStyle w:val="Compact"/>
        <w:numPr>
          <w:ilvl w:val="0"/>
          <w:numId w:val="1001"/>
        </w:numPr>
      </w:pPr>
      <w:r>
        <w:t xml:space="preserve">Aggregates</w:t>
      </w:r>
    </w:p>
    <w:p>
      <w:pPr>
        <w:pStyle w:val="Compact"/>
        <w:numPr>
          <w:ilvl w:val="0"/>
          <w:numId w:val="1001"/>
        </w:numPr>
      </w:pPr>
      <w:r>
        <w:t xml:space="preserve">Domain Services</w:t>
      </w:r>
    </w:p>
    <w:p>
      <w:pPr>
        <w:pStyle w:val="Compact"/>
        <w:numPr>
          <w:ilvl w:val="0"/>
          <w:numId w:val="1001"/>
        </w:numPr>
      </w:pPr>
      <w:r>
        <w:t xml:space="preserve">Domain Rules</w:t>
      </w:r>
    </w:p>
    <w:p>
      <w:pPr>
        <w:pStyle w:val="Compact"/>
        <w:numPr>
          <w:ilvl w:val="0"/>
          <w:numId w:val="1001"/>
        </w:numPr>
      </w:pPr>
      <w:r>
        <w:t xml:space="preserve">Domain Events</w:t>
      </w:r>
    </w:p>
    <w:p>
      <w:pPr>
        <w:pStyle w:val="Compact"/>
        <w:numPr>
          <w:ilvl w:val="0"/>
          <w:numId w:val="1001"/>
        </w:numPr>
      </w:pPr>
      <w:r>
        <w:t xml:space="preserve">Domain Exceptions</w:t>
      </w:r>
    </w:p>
    <w:p>
      <w:pPr>
        <w:pStyle w:val="FirstParagraph"/>
      </w:pPr>
      <w:r>
        <w:t xml:space="preserve">Technical concerns do not belong in the Domain.</w:t>
      </w:r>
    </w:p>
    <w:p>
      <w:pPr>
        <w:pStyle w:val="BodyText"/>
      </w:pPr>
      <w:r>
        <w:t xml:space="preserve">The Domain shall use explicit trading language.</w:t>
      </w:r>
    </w:p>
    <w:p>
      <w:r>
        <w:pict>
          <v:rect style="width:0;height:1.5pt" o:hralign="center" o:hrstd="t" o:hr="t"/>
        </w:pict>
      </w:r>
    </w:p>
    <w:bookmarkEnd w:id="11"/>
    <w:bookmarkStart w:id="12" w:name="core-domain-capabilities"/>
    <w:p>
      <w:pPr>
        <w:pStyle w:val="Heading1"/>
      </w:pPr>
      <w:r>
        <w:t xml:space="preserve">Core Domain Capabilities</w:t>
      </w:r>
    </w:p>
    <w:p>
      <w:pPr>
        <w:pStyle w:val="FirstParagraph"/>
      </w:pPr>
      <w:r>
        <w:t xml:space="preserve">The initial Trading Cockpit domain is organized around the following business capabilities:</w:t>
      </w:r>
    </w:p>
    <w:p>
      <w:pPr>
        <w:pStyle w:val="Compact"/>
        <w:numPr>
          <w:ilvl w:val="0"/>
          <w:numId w:val="1002"/>
        </w:numPr>
      </w:pPr>
      <w:r>
        <w:t xml:space="preserve">Instruments</w:t>
      </w:r>
    </w:p>
    <w:p>
      <w:pPr>
        <w:pStyle w:val="Compact"/>
        <w:numPr>
          <w:ilvl w:val="0"/>
          <w:numId w:val="1002"/>
        </w:numPr>
      </w:pPr>
      <w:r>
        <w:t xml:space="preserve">Watchlists</w:t>
      </w:r>
    </w:p>
    <w:p>
      <w:pPr>
        <w:pStyle w:val="Compact"/>
        <w:numPr>
          <w:ilvl w:val="0"/>
          <w:numId w:val="1002"/>
        </w:numPr>
      </w:pPr>
      <w:r>
        <w:t xml:space="preserve">Trading Candidates</w:t>
      </w:r>
    </w:p>
    <w:p>
      <w:pPr>
        <w:pStyle w:val="Compact"/>
        <w:numPr>
          <w:ilvl w:val="0"/>
          <w:numId w:val="1002"/>
        </w:numPr>
      </w:pPr>
      <w:r>
        <w:t xml:space="preserve">Trading Decisions</w:t>
      </w:r>
    </w:p>
    <w:p>
      <w:pPr>
        <w:pStyle w:val="Compact"/>
        <w:numPr>
          <w:ilvl w:val="0"/>
          <w:numId w:val="1002"/>
        </w:numPr>
      </w:pPr>
      <w:r>
        <w:t xml:space="preserve">Portfolio</w:t>
      </w:r>
    </w:p>
    <w:p>
      <w:pPr>
        <w:pStyle w:val="Compact"/>
        <w:numPr>
          <w:ilvl w:val="0"/>
          <w:numId w:val="1002"/>
        </w:numPr>
      </w:pPr>
      <w:r>
        <w:t xml:space="preserve">Positions</w:t>
      </w:r>
    </w:p>
    <w:p>
      <w:pPr>
        <w:pStyle w:val="Compact"/>
        <w:numPr>
          <w:ilvl w:val="0"/>
          <w:numId w:val="1002"/>
        </w:numPr>
      </w:pPr>
      <w:r>
        <w:t xml:space="preserve">Orders</w:t>
      </w:r>
    </w:p>
    <w:p>
      <w:pPr>
        <w:pStyle w:val="Compact"/>
        <w:numPr>
          <w:ilvl w:val="0"/>
          <w:numId w:val="1002"/>
        </w:numPr>
      </w:pPr>
      <w:r>
        <w:t xml:space="preserve">Risk</w:t>
      </w:r>
    </w:p>
    <w:p>
      <w:pPr>
        <w:pStyle w:val="Compact"/>
        <w:numPr>
          <w:ilvl w:val="0"/>
          <w:numId w:val="1002"/>
        </w:numPr>
      </w:pPr>
      <w:r>
        <w:t xml:space="preserve">Trading Review</w:t>
      </w:r>
    </w:p>
    <w:p>
      <w:pPr>
        <w:pStyle w:val="FirstParagraph"/>
      </w:pPr>
      <w:r>
        <w:t xml:space="preserve">Market Data supports trading workflows but external market data acquisition remains an infrastructure capability.</w:t>
      </w:r>
    </w:p>
    <w:p>
      <w:pPr>
        <w:pStyle w:val="BodyText"/>
      </w:pPr>
      <w:r>
        <w:t xml:space="preserve">Workspace management, configuration and logging are not business domains.</w:t>
      </w:r>
    </w:p>
    <w:p>
      <w:r>
        <w:pict>
          <v:rect style="width:0;height:1.5pt" o:hralign="center" o:hrstd="t" o:hr="t"/>
        </w:pict>
      </w:r>
    </w:p>
    <w:bookmarkEnd w:id="12"/>
    <w:bookmarkStart w:id="15" w:name="instruments"/>
    <w:p>
      <w:pPr>
        <w:pStyle w:val="Heading1"/>
      </w:pPr>
      <w:r>
        <w:t xml:space="preserve">Instruments</w:t>
      </w:r>
    </w:p>
    <w:p>
      <w:pPr>
        <w:pStyle w:val="FirstParagraph"/>
      </w:pPr>
      <w:r>
        <w:t xml:space="preserve">The Instrument capability represents tradeable financial instruments.</w:t>
      </w:r>
    </w:p>
    <w:bookmarkStart w:id="13" w:name="instrument"/>
    <w:p>
      <w:pPr>
        <w:pStyle w:val="Heading2"/>
      </w:pPr>
      <w:r>
        <w:t xml:space="preserve">Instrument</w:t>
      </w:r>
    </w:p>
    <w:p>
      <w:pPr>
        <w:pStyle w:val="FirstParagraph"/>
      </w:pPr>
      <w:r>
        <w:t xml:space="preserve">An Instrument has identity and represents a financial product.</w:t>
      </w:r>
    </w:p>
    <w:p>
      <w:pPr>
        <w:pStyle w:val="BodyText"/>
      </w:pPr>
      <w:r>
        <w:t xml:space="preserve">Typical attributes may include:</w:t>
      </w:r>
    </w:p>
    <w:p>
      <w:pPr>
        <w:pStyle w:val="Compact"/>
        <w:numPr>
          <w:ilvl w:val="0"/>
          <w:numId w:val="1003"/>
        </w:numPr>
      </w:pPr>
      <w:r>
        <w:t xml:space="preserve">InstrumentId</w:t>
      </w:r>
    </w:p>
    <w:p>
      <w:pPr>
        <w:pStyle w:val="Compact"/>
        <w:numPr>
          <w:ilvl w:val="0"/>
          <w:numId w:val="1003"/>
        </w:numPr>
      </w:pPr>
      <w:r>
        <w:t xml:space="preserve">Symbol</w:t>
      </w:r>
    </w:p>
    <w:p>
      <w:pPr>
        <w:pStyle w:val="Compact"/>
        <w:numPr>
          <w:ilvl w:val="0"/>
          <w:numId w:val="1003"/>
        </w:numPr>
      </w:pPr>
      <w:r>
        <w:t xml:space="preserve">Name</w:t>
      </w:r>
    </w:p>
    <w:p>
      <w:pPr>
        <w:pStyle w:val="Compact"/>
        <w:numPr>
          <w:ilvl w:val="0"/>
          <w:numId w:val="1003"/>
        </w:numPr>
      </w:pPr>
      <w:r>
        <w:t xml:space="preserve">InstrumentType</w:t>
      </w:r>
    </w:p>
    <w:p>
      <w:pPr>
        <w:pStyle w:val="Compact"/>
        <w:numPr>
          <w:ilvl w:val="0"/>
          <w:numId w:val="1003"/>
        </w:numPr>
      </w:pPr>
      <w:r>
        <w:t xml:space="preserve">Exchange</w:t>
      </w:r>
    </w:p>
    <w:p>
      <w:pPr>
        <w:pStyle w:val="Compact"/>
        <w:numPr>
          <w:ilvl w:val="0"/>
          <w:numId w:val="1003"/>
        </w:numPr>
      </w:pPr>
      <w:r>
        <w:t xml:space="preserve">Currency</w:t>
      </w:r>
    </w:p>
    <w:p>
      <w:pPr>
        <w:pStyle w:val="FirstParagraph"/>
      </w:pPr>
      <w:r>
        <w:t xml:space="preserve">Instrument identity shall remain independent from a specific broker identifier where practical.</w:t>
      </w:r>
    </w:p>
    <w:p>
      <w:pPr>
        <w:pStyle w:val="BodyText"/>
      </w:pPr>
      <w:r>
        <w:t xml:space="preserve">Broker-specific identifiers belong to integration mappings.</w:t>
      </w:r>
    </w:p>
    <w:bookmarkEnd w:id="13"/>
    <w:bookmarkStart w:id="14" w:name="instrument-invariants"/>
    <w:p>
      <w:pPr>
        <w:pStyle w:val="Heading2"/>
      </w:pPr>
      <w:r>
        <w:t xml:space="preserve">Instrument Invariants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4"/>
        </w:numPr>
      </w:pPr>
      <w:r>
        <w:t xml:space="preserve">InstrumentId shall be valid.</w:t>
      </w:r>
    </w:p>
    <w:p>
      <w:pPr>
        <w:pStyle w:val="Compact"/>
        <w:numPr>
          <w:ilvl w:val="0"/>
          <w:numId w:val="1004"/>
        </w:numPr>
      </w:pPr>
      <w:r>
        <w:t xml:space="preserve">Symbol shall not be empty.</w:t>
      </w:r>
    </w:p>
    <w:p>
      <w:pPr>
        <w:pStyle w:val="Compact"/>
        <w:numPr>
          <w:ilvl w:val="0"/>
          <w:numId w:val="1004"/>
        </w:numPr>
      </w:pPr>
      <w:r>
        <w:t xml:space="preserve">Currency shall be valid where required.</w:t>
      </w:r>
    </w:p>
    <w:p>
      <w:pPr>
        <w:pStyle w:val="Compact"/>
        <w:numPr>
          <w:ilvl w:val="0"/>
          <w:numId w:val="1004"/>
        </w:numPr>
      </w:pPr>
      <w:r>
        <w:t xml:space="preserve">Instrument identity shall remain stable.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watchlists"/>
    <w:p>
      <w:pPr>
        <w:pStyle w:val="Heading1"/>
      </w:pPr>
      <w:r>
        <w:t xml:space="preserve">Watchlists</w:t>
      </w:r>
    </w:p>
    <w:p>
      <w:pPr>
        <w:pStyle w:val="FirstParagraph"/>
      </w:pPr>
      <w:r>
        <w:t xml:space="preserve">The Watchlist capability represents user-defined collections of instruments.</w:t>
      </w:r>
    </w:p>
    <w:bookmarkStart w:id="16" w:name="watchlist"/>
    <w:p>
      <w:pPr>
        <w:pStyle w:val="Heading2"/>
      </w:pPr>
      <w:r>
        <w:t xml:space="preserve">Watchlist</w:t>
      </w:r>
    </w:p>
    <w:p>
      <w:pPr>
        <w:pStyle w:val="FirstParagraph"/>
      </w:pPr>
      <w:r>
        <w:t xml:space="preserve">A Watchlist is an Aggregate Root.</w:t>
      </w:r>
    </w:p>
    <w:p>
      <w:pPr>
        <w:pStyle w:val="BodyText"/>
      </w:pPr>
      <w:r>
        <w:t xml:space="preserve">Typical state:</w:t>
      </w:r>
    </w:p>
    <w:p>
      <w:pPr>
        <w:pStyle w:val="Compact"/>
        <w:numPr>
          <w:ilvl w:val="0"/>
          <w:numId w:val="1005"/>
        </w:numPr>
      </w:pPr>
      <w:r>
        <w:t xml:space="preserve">WatchlistId</w:t>
      </w:r>
    </w:p>
    <w:p>
      <w:pPr>
        <w:pStyle w:val="Compact"/>
        <w:numPr>
          <w:ilvl w:val="0"/>
          <w:numId w:val="1005"/>
        </w:numPr>
      </w:pPr>
      <w:r>
        <w:t xml:space="preserve">Name</w:t>
      </w:r>
    </w:p>
    <w:p>
      <w:pPr>
        <w:pStyle w:val="Compact"/>
        <w:numPr>
          <w:ilvl w:val="0"/>
          <w:numId w:val="1005"/>
        </w:numPr>
      </w:pPr>
      <w:r>
        <w:t xml:space="preserve">Instruments</w:t>
      </w:r>
    </w:p>
    <w:p>
      <w:pPr>
        <w:pStyle w:val="Compact"/>
        <w:numPr>
          <w:ilvl w:val="0"/>
          <w:numId w:val="1005"/>
        </w:numPr>
      </w:pPr>
      <w:r>
        <w:t xml:space="preserve">CreatedAt</w:t>
      </w:r>
    </w:p>
    <w:p>
      <w:pPr>
        <w:pStyle w:val="Compact"/>
        <w:numPr>
          <w:ilvl w:val="0"/>
          <w:numId w:val="1005"/>
        </w:numPr>
      </w:pPr>
      <w:r>
        <w:t xml:space="preserve">UpdatedAt</w:t>
      </w:r>
    </w:p>
    <w:bookmarkEnd w:id="16"/>
    <w:bookmarkStart w:id="17" w:name="watchlist-rules"/>
    <w:p>
      <w:pPr>
        <w:pStyle w:val="Heading2"/>
      </w:pPr>
      <w:r>
        <w:t xml:space="preserve">Watchlist Rules</w:t>
      </w:r>
    </w:p>
    <w:p>
      <w:pPr>
        <w:pStyle w:val="FirstParagraph"/>
      </w:pPr>
      <w:r>
        <w:t xml:space="preserve">A Watchlist shall:</w:t>
      </w:r>
    </w:p>
    <w:p>
      <w:pPr>
        <w:pStyle w:val="Compact"/>
        <w:numPr>
          <w:ilvl w:val="0"/>
          <w:numId w:val="1006"/>
        </w:numPr>
      </w:pPr>
      <w:r>
        <w:t xml:space="preserve">have identity</w:t>
      </w:r>
    </w:p>
    <w:p>
      <w:pPr>
        <w:pStyle w:val="Compact"/>
        <w:numPr>
          <w:ilvl w:val="0"/>
          <w:numId w:val="1006"/>
        </w:numPr>
      </w:pPr>
      <w:r>
        <w:t xml:space="preserve">have a valid name</w:t>
      </w:r>
    </w:p>
    <w:p>
      <w:pPr>
        <w:pStyle w:val="Compact"/>
        <w:numPr>
          <w:ilvl w:val="0"/>
          <w:numId w:val="1006"/>
        </w:numPr>
      </w:pPr>
      <w:r>
        <w:t xml:space="preserve">contain valid Instrument references</w:t>
      </w:r>
    </w:p>
    <w:p>
      <w:pPr>
        <w:pStyle w:val="Compact"/>
        <w:numPr>
          <w:ilvl w:val="0"/>
          <w:numId w:val="1006"/>
        </w:numPr>
      </w:pPr>
      <w:r>
        <w:t xml:space="preserve">prevent unintended duplicate entries</w:t>
      </w:r>
    </w:p>
    <w:p>
      <w:pPr>
        <w:pStyle w:val="Compact"/>
        <w:numPr>
          <w:ilvl w:val="0"/>
          <w:numId w:val="1006"/>
        </w:numPr>
      </w:pPr>
      <w:r>
        <w:t xml:space="preserve">preserve explicit instrument ordering where supported</w:t>
      </w:r>
    </w:p>
    <w:bookmarkEnd w:id="17"/>
    <w:bookmarkStart w:id="18" w:name="watchlist-events"/>
    <w:p>
      <w:pPr>
        <w:pStyle w:val="Heading2"/>
      </w:pPr>
      <w:r>
        <w:t xml:space="preserve">Watchlist Events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7"/>
        </w:numPr>
      </w:pPr>
      <w:r>
        <w:t xml:space="preserve">WatchlistCreated</w:t>
      </w:r>
    </w:p>
    <w:p>
      <w:pPr>
        <w:pStyle w:val="Compact"/>
        <w:numPr>
          <w:ilvl w:val="0"/>
          <w:numId w:val="1007"/>
        </w:numPr>
      </w:pPr>
      <w:r>
        <w:t xml:space="preserve">InstrumentAddedToWatchlist</w:t>
      </w:r>
    </w:p>
    <w:p>
      <w:pPr>
        <w:pStyle w:val="Compact"/>
        <w:numPr>
          <w:ilvl w:val="0"/>
          <w:numId w:val="1007"/>
        </w:numPr>
      </w:pPr>
      <w:r>
        <w:t xml:space="preserve">InstrumentRemovedFromWatchlist</w:t>
      </w:r>
    </w:p>
    <w:p>
      <w:pPr>
        <w:pStyle w:val="Compact"/>
        <w:numPr>
          <w:ilvl w:val="0"/>
          <w:numId w:val="1007"/>
        </w:numPr>
      </w:pPr>
      <w:r>
        <w:t xml:space="preserve">WatchlistRenamed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trading-candidates"/>
    <w:p>
      <w:pPr>
        <w:pStyle w:val="Heading1"/>
      </w:pPr>
      <w:r>
        <w:t xml:space="preserve">Trading Candidates</w:t>
      </w:r>
    </w:p>
    <w:p>
      <w:pPr>
        <w:pStyle w:val="FirstParagraph"/>
      </w:pPr>
      <w:r>
        <w:t xml:space="preserve">A Trading Candidate represents an instrument currently under trading evaluation.</w:t>
      </w:r>
    </w:p>
    <w:p>
      <w:pPr>
        <w:pStyle w:val="BodyText"/>
      </w:pPr>
      <w:r>
        <w:t xml:space="preserve">Trading Candidates bridge market observation and explicit trading decisions.</w:t>
      </w:r>
    </w:p>
    <w:bookmarkStart w:id="20" w:name="trading-candidate"/>
    <w:p>
      <w:pPr>
        <w:pStyle w:val="Heading2"/>
      </w:pPr>
      <w:r>
        <w:t xml:space="preserve">Trading Candidate</w:t>
      </w:r>
    </w:p>
    <w:p>
      <w:pPr>
        <w:pStyle w:val="FirstParagraph"/>
      </w:pPr>
      <w:r>
        <w:t xml:space="preserve">A Trading Candidate is an Aggregate Root.</w:t>
      </w:r>
    </w:p>
    <w:p>
      <w:pPr>
        <w:pStyle w:val="BodyText"/>
      </w:pPr>
      <w:r>
        <w:t xml:space="preserve">Typical state:</w:t>
      </w:r>
    </w:p>
    <w:p>
      <w:pPr>
        <w:pStyle w:val="Compact"/>
        <w:numPr>
          <w:ilvl w:val="0"/>
          <w:numId w:val="1008"/>
        </w:numPr>
      </w:pPr>
      <w:r>
        <w:t xml:space="preserve">CandidateId</w:t>
      </w:r>
    </w:p>
    <w:p>
      <w:pPr>
        <w:pStyle w:val="Compact"/>
        <w:numPr>
          <w:ilvl w:val="0"/>
          <w:numId w:val="1008"/>
        </w:numPr>
      </w:pPr>
      <w:r>
        <w:t xml:space="preserve">InstrumentId</w:t>
      </w:r>
    </w:p>
    <w:p>
      <w:pPr>
        <w:pStyle w:val="Compact"/>
        <w:numPr>
          <w:ilvl w:val="0"/>
          <w:numId w:val="1008"/>
        </w:numPr>
      </w:pPr>
      <w:r>
        <w:t xml:space="preserve">CandidateStatus</w:t>
      </w:r>
    </w:p>
    <w:p>
      <w:pPr>
        <w:pStyle w:val="Compact"/>
        <w:numPr>
          <w:ilvl w:val="0"/>
          <w:numId w:val="1008"/>
        </w:numPr>
      </w:pPr>
      <w:r>
        <w:t xml:space="preserve">Origin</w:t>
      </w:r>
    </w:p>
    <w:p>
      <w:pPr>
        <w:pStyle w:val="Compact"/>
        <w:numPr>
          <w:ilvl w:val="0"/>
          <w:numId w:val="1008"/>
        </w:numPr>
      </w:pPr>
      <w:r>
        <w:t xml:space="preserve">Tags</w:t>
      </w:r>
    </w:p>
    <w:p>
      <w:pPr>
        <w:pStyle w:val="Compact"/>
        <w:numPr>
          <w:ilvl w:val="0"/>
          <w:numId w:val="1008"/>
        </w:numPr>
      </w:pPr>
      <w:r>
        <w:t xml:space="preserve">CreatedAt</w:t>
      </w:r>
    </w:p>
    <w:p>
      <w:pPr>
        <w:pStyle w:val="Compact"/>
        <w:numPr>
          <w:ilvl w:val="0"/>
          <w:numId w:val="1008"/>
        </w:numPr>
      </w:pPr>
      <w:r>
        <w:t xml:space="preserve">UpdatedAt</w:t>
      </w:r>
    </w:p>
    <w:p>
      <w:pPr>
        <w:pStyle w:val="FirstParagraph"/>
      </w:pPr>
      <w:r>
        <w:t xml:space="preserve">Possible origins may include:</w:t>
      </w:r>
    </w:p>
    <w:p>
      <w:pPr>
        <w:pStyle w:val="Compact"/>
        <w:numPr>
          <w:ilvl w:val="0"/>
          <w:numId w:val="1009"/>
        </w:numPr>
      </w:pPr>
      <w:r>
        <w:t xml:space="preserve">Watchlist</w:t>
      </w:r>
    </w:p>
    <w:p>
      <w:pPr>
        <w:pStyle w:val="Compact"/>
        <w:numPr>
          <w:ilvl w:val="0"/>
          <w:numId w:val="1009"/>
        </w:numPr>
      </w:pPr>
      <w:r>
        <w:t xml:space="preserve">Market Scanner</w:t>
      </w:r>
    </w:p>
    <w:p>
      <w:pPr>
        <w:pStyle w:val="Compact"/>
        <w:numPr>
          <w:ilvl w:val="0"/>
          <w:numId w:val="1009"/>
        </w:numPr>
      </w:pPr>
      <w:r>
        <w:t xml:space="preserve">Manual Selection</w:t>
      </w:r>
    </w:p>
    <w:p>
      <w:pPr>
        <w:pStyle w:val="Compact"/>
        <w:numPr>
          <w:ilvl w:val="0"/>
          <w:numId w:val="1009"/>
        </w:numPr>
      </w:pPr>
      <w:r>
        <w:t xml:space="preserve">Signal</w:t>
      </w:r>
    </w:p>
    <w:bookmarkEnd w:id="20"/>
    <w:bookmarkStart w:id="21" w:name="candidate-status"/>
    <w:p>
      <w:pPr>
        <w:pStyle w:val="Heading2"/>
      </w:pPr>
      <w:r>
        <w:t xml:space="preserve">Candidate Status</w:t>
      </w:r>
    </w:p>
    <w:p>
      <w:pPr>
        <w:pStyle w:val="FirstParagraph"/>
      </w:pPr>
      <w:r>
        <w:t xml:space="preserve">Initial candidate states may include:</w:t>
      </w:r>
    </w:p>
    <w:p>
      <w:pPr>
        <w:pStyle w:val="Compact"/>
        <w:numPr>
          <w:ilvl w:val="0"/>
          <w:numId w:val="1010"/>
        </w:numPr>
      </w:pPr>
      <w:r>
        <w:t xml:space="preserve">New</w:t>
      </w:r>
    </w:p>
    <w:p>
      <w:pPr>
        <w:pStyle w:val="Compact"/>
        <w:numPr>
          <w:ilvl w:val="0"/>
          <w:numId w:val="1010"/>
        </w:numPr>
      </w:pPr>
      <w:r>
        <w:t xml:space="preserve">Reviewing</w:t>
      </w:r>
    </w:p>
    <w:p>
      <w:pPr>
        <w:pStyle w:val="Compact"/>
        <w:numPr>
          <w:ilvl w:val="0"/>
          <w:numId w:val="1010"/>
        </w:numPr>
      </w:pPr>
      <w:r>
        <w:t xml:space="preserve">Accepted</w:t>
      </w:r>
    </w:p>
    <w:p>
      <w:pPr>
        <w:pStyle w:val="Compact"/>
        <w:numPr>
          <w:ilvl w:val="0"/>
          <w:numId w:val="1010"/>
        </w:numPr>
      </w:pPr>
      <w:r>
        <w:t xml:space="preserve">Rejected</w:t>
      </w:r>
    </w:p>
    <w:p>
      <w:pPr>
        <w:pStyle w:val="Compact"/>
        <w:numPr>
          <w:ilvl w:val="0"/>
          <w:numId w:val="1010"/>
        </w:numPr>
      </w:pPr>
      <w:r>
        <w:t xml:space="preserve">Archived</w:t>
      </w:r>
    </w:p>
    <w:p>
      <w:pPr>
        <w:pStyle w:val="FirstParagraph"/>
      </w:pPr>
      <w:r>
        <w:t xml:space="preserve">State transitions shall remain explicit.</w:t>
      </w:r>
    </w:p>
    <w:bookmarkEnd w:id="21"/>
    <w:bookmarkStart w:id="22" w:name="trading-candidate-rules"/>
    <w:p>
      <w:pPr>
        <w:pStyle w:val="Heading2"/>
      </w:pPr>
      <w:r>
        <w:t xml:space="preserve">Trading Candidate Rules</w:t>
      </w:r>
    </w:p>
    <w:p>
      <w:pPr>
        <w:pStyle w:val="FirstParagraph"/>
      </w:pPr>
      <w:r>
        <w:t xml:space="preserve">A Trading Candidate shall:</w:t>
      </w:r>
    </w:p>
    <w:p>
      <w:pPr>
        <w:pStyle w:val="Compact"/>
        <w:numPr>
          <w:ilvl w:val="0"/>
          <w:numId w:val="1011"/>
        </w:numPr>
      </w:pPr>
      <w:r>
        <w:t xml:space="preserve">reference a valid Instrument</w:t>
      </w:r>
    </w:p>
    <w:p>
      <w:pPr>
        <w:pStyle w:val="Compact"/>
        <w:numPr>
          <w:ilvl w:val="0"/>
          <w:numId w:val="1011"/>
        </w:numPr>
      </w:pPr>
      <w:r>
        <w:t xml:space="preserve">have a defined lifecycle state</w:t>
      </w:r>
    </w:p>
    <w:p>
      <w:pPr>
        <w:pStyle w:val="Compact"/>
        <w:numPr>
          <w:ilvl w:val="0"/>
          <w:numId w:val="1011"/>
        </w:numPr>
      </w:pPr>
      <w:r>
        <w:t xml:space="preserve">preserve its origin where available</w:t>
      </w:r>
    </w:p>
    <w:p>
      <w:pPr>
        <w:pStyle w:val="Compact"/>
        <w:numPr>
          <w:ilvl w:val="0"/>
          <w:numId w:val="1011"/>
        </w:numPr>
      </w:pPr>
      <w:r>
        <w:t xml:space="preserve">preserve creation and update timestamps</w:t>
      </w:r>
    </w:p>
    <w:bookmarkEnd w:id="22"/>
    <w:bookmarkStart w:id="23" w:name="trading-candidate-events"/>
    <w:p>
      <w:pPr>
        <w:pStyle w:val="Heading2"/>
      </w:pPr>
      <w:r>
        <w:t xml:space="preserve">Trading Candidate Events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2"/>
        </w:numPr>
      </w:pPr>
      <w:r>
        <w:t xml:space="preserve">TradingCandidateCreated</w:t>
      </w:r>
    </w:p>
    <w:p>
      <w:pPr>
        <w:pStyle w:val="Compact"/>
        <w:numPr>
          <w:ilvl w:val="0"/>
          <w:numId w:val="1012"/>
        </w:numPr>
      </w:pPr>
      <w:r>
        <w:t xml:space="preserve">TradingCandidateReviewStarted</w:t>
      </w:r>
    </w:p>
    <w:p>
      <w:pPr>
        <w:pStyle w:val="Compact"/>
        <w:numPr>
          <w:ilvl w:val="0"/>
          <w:numId w:val="1012"/>
        </w:numPr>
      </w:pPr>
      <w:r>
        <w:t xml:space="preserve">TradingCandidateAccepted</w:t>
      </w:r>
    </w:p>
    <w:p>
      <w:pPr>
        <w:pStyle w:val="Compact"/>
        <w:numPr>
          <w:ilvl w:val="0"/>
          <w:numId w:val="1012"/>
        </w:numPr>
      </w:pPr>
      <w:r>
        <w:t xml:space="preserve">TradingCandidateRejected</w:t>
      </w:r>
    </w:p>
    <w:p>
      <w:pPr>
        <w:pStyle w:val="Compact"/>
        <w:numPr>
          <w:ilvl w:val="0"/>
          <w:numId w:val="1012"/>
        </w:numPr>
      </w:pPr>
      <w:r>
        <w:t xml:space="preserve">TradingCandidateArchived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trading-decisions"/>
    <w:p>
      <w:pPr>
        <w:pStyle w:val="Heading1"/>
      </w:pPr>
      <w:r>
        <w:t xml:space="preserve">Trading Decisions</w:t>
      </w:r>
    </w:p>
    <w:p>
      <w:pPr>
        <w:pStyle w:val="FirstParagraph"/>
      </w:pPr>
      <w:r>
        <w:t xml:space="preserve">A Trading Decision represents an explicit trading decision associated with a trading candidate or instrument.</w:t>
      </w:r>
    </w:p>
    <w:p>
      <w:pPr>
        <w:pStyle w:val="BodyText"/>
      </w:pPr>
      <w:r>
        <w:t xml:space="preserve">The decision process shall remain transparent and reviewable.</w:t>
      </w:r>
    </w:p>
    <w:bookmarkStart w:id="25" w:name="trading-decision"/>
    <w:p>
      <w:pPr>
        <w:pStyle w:val="Heading2"/>
      </w:pPr>
      <w:r>
        <w:t xml:space="preserve">Trading Decision</w:t>
      </w:r>
    </w:p>
    <w:p>
      <w:pPr>
        <w:pStyle w:val="FirstParagraph"/>
      </w:pPr>
      <w:r>
        <w:t xml:space="preserve">A Trading Decision is an Aggregate Root.</w:t>
      </w:r>
    </w:p>
    <w:p>
      <w:pPr>
        <w:pStyle w:val="BodyText"/>
      </w:pPr>
      <w:r>
        <w:t xml:space="preserve">Typical state:</w:t>
      </w:r>
    </w:p>
    <w:p>
      <w:pPr>
        <w:pStyle w:val="Compact"/>
        <w:numPr>
          <w:ilvl w:val="0"/>
          <w:numId w:val="1013"/>
        </w:numPr>
      </w:pPr>
      <w:r>
        <w:t xml:space="preserve">DecisionId</w:t>
      </w:r>
    </w:p>
    <w:p>
      <w:pPr>
        <w:pStyle w:val="Compact"/>
        <w:numPr>
          <w:ilvl w:val="0"/>
          <w:numId w:val="1013"/>
        </w:numPr>
      </w:pPr>
      <w:r>
        <w:t xml:space="preserve">CandidateId</w:t>
      </w:r>
    </w:p>
    <w:p>
      <w:pPr>
        <w:pStyle w:val="Compact"/>
        <w:numPr>
          <w:ilvl w:val="0"/>
          <w:numId w:val="1013"/>
        </w:numPr>
      </w:pPr>
      <w:r>
        <w:t xml:space="preserve">InstrumentId</w:t>
      </w:r>
    </w:p>
    <w:p>
      <w:pPr>
        <w:pStyle w:val="Compact"/>
        <w:numPr>
          <w:ilvl w:val="0"/>
          <w:numId w:val="1013"/>
        </w:numPr>
      </w:pPr>
      <w:r>
        <w:t xml:space="preserve">DecisionStatus</w:t>
      </w:r>
    </w:p>
    <w:p>
      <w:pPr>
        <w:pStyle w:val="Compact"/>
        <w:numPr>
          <w:ilvl w:val="0"/>
          <w:numId w:val="1013"/>
        </w:numPr>
      </w:pPr>
      <w:r>
        <w:t xml:space="preserve">Notes</w:t>
      </w:r>
    </w:p>
    <w:p>
      <w:pPr>
        <w:pStyle w:val="Compact"/>
        <w:numPr>
          <w:ilvl w:val="0"/>
          <w:numId w:val="1013"/>
        </w:numPr>
      </w:pPr>
      <w:r>
        <w:t xml:space="preserve">Tags</w:t>
      </w:r>
    </w:p>
    <w:p>
      <w:pPr>
        <w:pStyle w:val="Compact"/>
        <w:numPr>
          <w:ilvl w:val="0"/>
          <w:numId w:val="1013"/>
        </w:numPr>
      </w:pPr>
      <w:r>
        <w:t xml:space="preserve">CreatedAt</w:t>
      </w:r>
    </w:p>
    <w:p>
      <w:pPr>
        <w:pStyle w:val="Compact"/>
        <w:numPr>
          <w:ilvl w:val="0"/>
          <w:numId w:val="1013"/>
        </w:numPr>
      </w:pPr>
      <w:r>
        <w:t xml:space="preserve">UpdatedAt</w:t>
      </w:r>
    </w:p>
    <w:p>
      <w:pPr>
        <w:pStyle w:val="FirstParagraph"/>
      </w:pPr>
      <w:r>
        <w:t xml:space="preserve">Possible decision states may include:</w:t>
      </w:r>
    </w:p>
    <w:p>
      <w:pPr>
        <w:pStyle w:val="Compact"/>
        <w:numPr>
          <w:ilvl w:val="0"/>
          <w:numId w:val="1014"/>
        </w:numPr>
      </w:pPr>
      <w:r>
        <w:t xml:space="preserve">Draft</w:t>
      </w:r>
    </w:p>
    <w:p>
      <w:pPr>
        <w:pStyle w:val="Compact"/>
        <w:numPr>
          <w:ilvl w:val="0"/>
          <w:numId w:val="1014"/>
        </w:numPr>
      </w:pPr>
      <w:r>
        <w:t xml:space="preserve">Accepted</w:t>
      </w:r>
    </w:p>
    <w:p>
      <w:pPr>
        <w:pStyle w:val="Compact"/>
        <w:numPr>
          <w:ilvl w:val="0"/>
          <w:numId w:val="1014"/>
        </w:numPr>
      </w:pPr>
      <w:r>
        <w:t xml:space="preserve">Rejected</w:t>
      </w:r>
    </w:p>
    <w:p>
      <w:pPr>
        <w:pStyle w:val="Compact"/>
        <w:numPr>
          <w:ilvl w:val="0"/>
          <w:numId w:val="1014"/>
        </w:numPr>
      </w:pPr>
      <w:r>
        <w:t xml:space="preserve">Cancelled</w:t>
      </w:r>
    </w:p>
    <w:p>
      <w:pPr>
        <w:pStyle w:val="Compact"/>
        <w:numPr>
          <w:ilvl w:val="0"/>
          <w:numId w:val="1014"/>
        </w:numPr>
      </w:pPr>
      <w:r>
        <w:t xml:space="preserve">Executed</w:t>
      </w:r>
    </w:p>
    <w:p>
      <w:pPr>
        <w:pStyle w:val="Compact"/>
        <w:numPr>
          <w:ilvl w:val="0"/>
          <w:numId w:val="1014"/>
        </w:numPr>
      </w:pPr>
      <w:r>
        <w:t xml:space="preserve">Reviewed</w:t>
      </w:r>
    </w:p>
    <w:bookmarkEnd w:id="25"/>
    <w:bookmarkStart w:id="26" w:name="trading-decision-rules"/>
    <w:p>
      <w:pPr>
        <w:pStyle w:val="Heading2"/>
      </w:pPr>
      <w:r>
        <w:t xml:space="preserve">Trading Decision Rules</w:t>
      </w:r>
    </w:p>
    <w:p>
      <w:pPr>
        <w:pStyle w:val="FirstParagraph"/>
      </w:pPr>
      <w:r>
        <w:t xml:space="preserve">A Trading Decision shall:</w:t>
      </w:r>
    </w:p>
    <w:p>
      <w:pPr>
        <w:pStyle w:val="Compact"/>
        <w:numPr>
          <w:ilvl w:val="0"/>
          <w:numId w:val="1015"/>
        </w:numPr>
      </w:pPr>
      <w:r>
        <w:t xml:space="preserve">reference a valid Instrument</w:t>
      </w:r>
    </w:p>
    <w:p>
      <w:pPr>
        <w:pStyle w:val="Compact"/>
        <w:numPr>
          <w:ilvl w:val="0"/>
          <w:numId w:val="1015"/>
        </w:numPr>
      </w:pPr>
      <w:r>
        <w:t xml:space="preserve">have an explicit status</w:t>
      </w:r>
    </w:p>
    <w:p>
      <w:pPr>
        <w:pStyle w:val="Compact"/>
        <w:numPr>
          <w:ilvl w:val="0"/>
          <w:numId w:val="1015"/>
        </w:numPr>
      </w:pPr>
      <w:r>
        <w:t xml:space="preserve">preserve relevant decision state</w:t>
      </w:r>
    </w:p>
    <w:p>
      <w:pPr>
        <w:pStyle w:val="Compact"/>
        <w:numPr>
          <w:ilvl w:val="0"/>
          <w:numId w:val="1015"/>
        </w:numPr>
      </w:pPr>
      <w:r>
        <w:t xml:space="preserve">preserve decision timestamps</w:t>
      </w:r>
    </w:p>
    <w:p>
      <w:pPr>
        <w:pStyle w:val="FirstParagraph"/>
      </w:pPr>
      <w:r>
        <w:t xml:space="preserve">An accepted decision does not automatically imply successful order execution.</w:t>
      </w:r>
    </w:p>
    <w:p>
      <w:pPr>
        <w:pStyle w:val="BodyText"/>
      </w:pPr>
      <w:r>
        <w:t xml:space="preserve">Decision state and order state shall remain separate.</w:t>
      </w:r>
    </w:p>
    <w:bookmarkEnd w:id="26"/>
    <w:bookmarkStart w:id="27" w:name="trading-decision-events"/>
    <w:p>
      <w:pPr>
        <w:pStyle w:val="Heading2"/>
      </w:pPr>
      <w:r>
        <w:t xml:space="preserve">Trading Decision Events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6"/>
        </w:numPr>
      </w:pPr>
      <w:r>
        <w:t xml:space="preserve">TradingDecisionCreated</w:t>
      </w:r>
    </w:p>
    <w:p>
      <w:pPr>
        <w:pStyle w:val="Compact"/>
        <w:numPr>
          <w:ilvl w:val="0"/>
          <w:numId w:val="1016"/>
        </w:numPr>
      </w:pPr>
      <w:r>
        <w:t xml:space="preserve">TradingDecisionAccepted</w:t>
      </w:r>
    </w:p>
    <w:p>
      <w:pPr>
        <w:pStyle w:val="Compact"/>
        <w:numPr>
          <w:ilvl w:val="0"/>
          <w:numId w:val="1016"/>
        </w:numPr>
      </w:pPr>
      <w:r>
        <w:t xml:space="preserve">TradingDecisionRejected</w:t>
      </w:r>
    </w:p>
    <w:p>
      <w:pPr>
        <w:pStyle w:val="Compact"/>
        <w:numPr>
          <w:ilvl w:val="0"/>
          <w:numId w:val="1016"/>
        </w:numPr>
      </w:pPr>
      <w:r>
        <w:t xml:space="preserve">TradingDecisionCancelled</w:t>
      </w:r>
    </w:p>
    <w:p>
      <w:pPr>
        <w:pStyle w:val="Compact"/>
        <w:numPr>
          <w:ilvl w:val="0"/>
          <w:numId w:val="1016"/>
        </w:numPr>
      </w:pPr>
      <w:r>
        <w:t xml:space="preserve">TradingDecisionExecuted</w:t>
      </w:r>
    </w:p>
    <w:p>
      <w:pPr>
        <w:pStyle w:val="Compact"/>
        <w:numPr>
          <w:ilvl w:val="0"/>
          <w:numId w:val="1016"/>
        </w:numPr>
      </w:pPr>
      <w:r>
        <w:t xml:space="preserve">TradingDecisionReviewed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portfolio"/>
    <w:p>
      <w:pPr>
        <w:pStyle w:val="Heading1"/>
      </w:pPr>
      <w:r>
        <w:t xml:space="preserve">Portfolio</w:t>
      </w:r>
    </w:p>
    <w:p>
      <w:pPr>
        <w:pStyle w:val="FirstParagraph"/>
      </w:pPr>
      <w:r>
        <w:t xml:space="preserve">The Portfolio capability represents the user’s trading portfolio from a business perspective.</w:t>
      </w:r>
    </w:p>
    <w:bookmarkStart w:id="29" w:name="portfolio-1"/>
    <w:p>
      <w:pPr>
        <w:pStyle w:val="Heading2"/>
      </w:pPr>
      <w:r>
        <w:t xml:space="preserve">Portfolio</w:t>
      </w:r>
    </w:p>
    <w:p>
      <w:pPr>
        <w:pStyle w:val="FirstParagraph"/>
      </w:pPr>
      <w:r>
        <w:t xml:space="preserve">Portfolio is an Aggregate Root.</w:t>
      </w:r>
    </w:p>
    <w:p>
      <w:pPr>
        <w:pStyle w:val="BodyText"/>
      </w:pPr>
      <w:r>
        <w:t xml:space="preserve">Typical state may include:</w:t>
      </w:r>
    </w:p>
    <w:p>
      <w:pPr>
        <w:pStyle w:val="Compact"/>
        <w:numPr>
          <w:ilvl w:val="0"/>
          <w:numId w:val="1017"/>
        </w:numPr>
      </w:pPr>
      <w:r>
        <w:t xml:space="preserve">PortfolioId</w:t>
      </w:r>
    </w:p>
    <w:p>
      <w:pPr>
        <w:pStyle w:val="Compact"/>
        <w:numPr>
          <w:ilvl w:val="0"/>
          <w:numId w:val="1017"/>
        </w:numPr>
      </w:pPr>
      <w:r>
        <w:t xml:space="preserve">AccountReference</w:t>
      </w:r>
    </w:p>
    <w:p>
      <w:pPr>
        <w:pStyle w:val="Compact"/>
        <w:numPr>
          <w:ilvl w:val="0"/>
          <w:numId w:val="1017"/>
        </w:numPr>
      </w:pPr>
      <w:r>
        <w:t xml:space="preserve">Positions</w:t>
      </w:r>
    </w:p>
    <w:p>
      <w:pPr>
        <w:pStyle w:val="Compact"/>
        <w:numPr>
          <w:ilvl w:val="0"/>
          <w:numId w:val="1017"/>
        </w:numPr>
      </w:pPr>
      <w:r>
        <w:t xml:space="preserve">Currency</w:t>
      </w:r>
    </w:p>
    <w:p>
      <w:pPr>
        <w:pStyle w:val="Compact"/>
        <w:numPr>
          <w:ilvl w:val="0"/>
          <w:numId w:val="1017"/>
        </w:numPr>
      </w:pPr>
      <w:r>
        <w:t xml:space="preserve">ValuationState</w:t>
      </w:r>
    </w:p>
    <w:p>
      <w:pPr>
        <w:pStyle w:val="Compact"/>
        <w:numPr>
          <w:ilvl w:val="0"/>
          <w:numId w:val="1017"/>
        </w:numPr>
      </w:pPr>
      <w:r>
        <w:t xml:space="preserve">UpdatedAt</w:t>
      </w:r>
    </w:p>
    <w:p>
      <w:pPr>
        <w:pStyle w:val="FirstParagraph"/>
      </w:pPr>
      <w:r>
        <w:t xml:space="preserve">The Domain shall distinguish between known and unavailable financial values.</w:t>
      </w:r>
    </w:p>
    <w:p>
      <w:pPr>
        <w:pStyle w:val="BodyText"/>
      </w:pPr>
      <w:r>
        <w:t xml:space="preserve">Missing financial information shall not silently become zero.</w:t>
      </w:r>
    </w:p>
    <w:bookmarkEnd w:id="29"/>
    <w:bookmarkStart w:id="30" w:name="portfolio-rules"/>
    <w:p>
      <w:pPr>
        <w:pStyle w:val="Heading2"/>
      </w:pPr>
      <w:r>
        <w:t xml:space="preserve">Portfolio Rules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8"/>
        </w:numPr>
      </w:pPr>
      <w:r>
        <w:t xml:space="preserve">Portfolio identity shall remain stable.</w:t>
      </w:r>
    </w:p>
    <w:p>
      <w:pPr>
        <w:pStyle w:val="Compact"/>
        <w:numPr>
          <w:ilvl w:val="0"/>
          <w:numId w:val="1018"/>
        </w:numPr>
      </w:pPr>
      <w:r>
        <w:t xml:space="preserve">Position references shall remain consistent.</w:t>
      </w:r>
    </w:p>
    <w:p>
      <w:pPr>
        <w:pStyle w:val="Compact"/>
        <w:numPr>
          <w:ilvl w:val="0"/>
          <w:numId w:val="1018"/>
        </w:numPr>
      </w:pPr>
      <w:r>
        <w:t xml:space="preserve">Financial values shall preserve currency context.</w:t>
      </w:r>
    </w:p>
    <w:p>
      <w:pPr>
        <w:pStyle w:val="Compact"/>
        <w:numPr>
          <w:ilvl w:val="0"/>
          <w:numId w:val="1018"/>
        </w:numPr>
      </w:pPr>
      <w:r>
        <w:t xml:space="preserve">Unavailable values shall remain explicitly unavailable.</w:t>
      </w:r>
    </w:p>
    <w:bookmarkEnd w:id="30"/>
    <w:bookmarkStart w:id="31" w:name="portfolio-events"/>
    <w:p>
      <w:pPr>
        <w:pStyle w:val="Heading2"/>
      </w:pPr>
      <w:r>
        <w:t xml:space="preserve">Portfolio Events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19"/>
        </w:numPr>
      </w:pPr>
      <w:r>
        <w:t xml:space="preserve">PortfolioUpdated</w:t>
      </w:r>
    </w:p>
    <w:p>
      <w:pPr>
        <w:pStyle w:val="Compact"/>
        <w:numPr>
          <w:ilvl w:val="0"/>
          <w:numId w:val="1019"/>
        </w:numPr>
      </w:pPr>
      <w:r>
        <w:t xml:space="preserve">PortfolioValuationUpdated</w:t>
      </w:r>
    </w:p>
    <w:p>
      <w:pPr>
        <w:pStyle w:val="Compact"/>
        <w:numPr>
          <w:ilvl w:val="0"/>
          <w:numId w:val="1019"/>
        </w:numPr>
      </w:pPr>
      <w:r>
        <w:t xml:space="preserve">PortfolioStateChanged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positions"/>
    <w:p>
      <w:pPr>
        <w:pStyle w:val="Heading1"/>
      </w:pPr>
      <w:r>
        <w:t xml:space="preserve">Positions</w:t>
      </w:r>
    </w:p>
    <w:p>
      <w:pPr>
        <w:pStyle w:val="FirstParagraph"/>
      </w:pPr>
      <w:r>
        <w:t xml:space="preserve">The Position capability represents an economic position in an instrument.</w:t>
      </w:r>
    </w:p>
    <w:bookmarkStart w:id="33" w:name="position"/>
    <w:p>
      <w:pPr>
        <w:pStyle w:val="Heading2"/>
      </w:pPr>
      <w:r>
        <w:t xml:space="preserve">Position</w:t>
      </w:r>
    </w:p>
    <w:p>
      <w:pPr>
        <w:pStyle w:val="FirstParagraph"/>
      </w:pPr>
      <w:r>
        <w:t xml:space="preserve">Position is an Aggregate Root where independent lifecycle rules are required.</w:t>
      </w:r>
    </w:p>
    <w:p>
      <w:pPr>
        <w:pStyle w:val="BodyText"/>
      </w:pPr>
      <w:r>
        <w:t xml:space="preserve">Typical state may include:</w:t>
      </w:r>
    </w:p>
    <w:p>
      <w:pPr>
        <w:pStyle w:val="Compact"/>
        <w:numPr>
          <w:ilvl w:val="0"/>
          <w:numId w:val="1020"/>
        </w:numPr>
      </w:pPr>
      <w:r>
        <w:t xml:space="preserve">PositionId</w:t>
      </w:r>
    </w:p>
    <w:p>
      <w:pPr>
        <w:pStyle w:val="Compact"/>
        <w:numPr>
          <w:ilvl w:val="0"/>
          <w:numId w:val="1020"/>
        </w:numPr>
      </w:pPr>
      <w:r>
        <w:t xml:space="preserve">InstrumentId</w:t>
      </w:r>
    </w:p>
    <w:p>
      <w:pPr>
        <w:pStyle w:val="Compact"/>
        <w:numPr>
          <w:ilvl w:val="0"/>
          <w:numId w:val="1020"/>
        </w:numPr>
      </w:pPr>
      <w:r>
        <w:t xml:space="preserve">Quantity</w:t>
      </w:r>
    </w:p>
    <w:p>
      <w:pPr>
        <w:pStyle w:val="Compact"/>
        <w:numPr>
          <w:ilvl w:val="0"/>
          <w:numId w:val="1020"/>
        </w:numPr>
      </w:pPr>
      <w:r>
        <w:t xml:space="preserve">AveragePrice</w:t>
      </w:r>
    </w:p>
    <w:p>
      <w:pPr>
        <w:pStyle w:val="Compact"/>
        <w:numPr>
          <w:ilvl w:val="0"/>
          <w:numId w:val="1020"/>
        </w:numPr>
      </w:pPr>
      <w:r>
        <w:t xml:space="preserve">PositionStatus</w:t>
      </w:r>
    </w:p>
    <w:p>
      <w:pPr>
        <w:pStyle w:val="Compact"/>
        <w:numPr>
          <w:ilvl w:val="0"/>
          <w:numId w:val="1020"/>
        </w:numPr>
      </w:pPr>
      <w:r>
        <w:t xml:space="preserve">OpenedAt</w:t>
      </w:r>
    </w:p>
    <w:p>
      <w:pPr>
        <w:pStyle w:val="Compact"/>
        <w:numPr>
          <w:ilvl w:val="0"/>
          <w:numId w:val="1020"/>
        </w:numPr>
      </w:pPr>
      <w:r>
        <w:t xml:space="preserve">ClosedAt</w:t>
      </w:r>
    </w:p>
    <w:p>
      <w:pPr>
        <w:pStyle w:val="FirstParagraph"/>
      </w:pPr>
      <w:r>
        <w:t xml:space="preserve">Possible states may include:</w:t>
      </w:r>
    </w:p>
    <w:p>
      <w:pPr>
        <w:pStyle w:val="Compact"/>
        <w:numPr>
          <w:ilvl w:val="0"/>
          <w:numId w:val="1021"/>
        </w:numPr>
      </w:pPr>
      <w:r>
        <w:t xml:space="preserve">Open</w:t>
      </w:r>
    </w:p>
    <w:p>
      <w:pPr>
        <w:pStyle w:val="Compact"/>
        <w:numPr>
          <w:ilvl w:val="0"/>
          <w:numId w:val="1021"/>
        </w:numPr>
      </w:pPr>
      <w:r>
        <w:t xml:space="preserve">Closing</w:t>
      </w:r>
    </w:p>
    <w:p>
      <w:pPr>
        <w:pStyle w:val="Compact"/>
        <w:numPr>
          <w:ilvl w:val="0"/>
          <w:numId w:val="1021"/>
        </w:numPr>
      </w:pPr>
      <w:r>
        <w:t xml:space="preserve">Closed</w:t>
      </w:r>
    </w:p>
    <w:p>
      <w:pPr>
        <w:pStyle w:val="FirstParagraph"/>
      </w:pPr>
      <w:r>
        <w:t xml:space="preserve">Additional states require explicit business justification.</w:t>
      </w:r>
    </w:p>
    <w:bookmarkEnd w:id="33"/>
    <w:bookmarkStart w:id="34" w:name="position-rules"/>
    <w:p>
      <w:pPr>
        <w:pStyle w:val="Heading2"/>
      </w:pPr>
      <w:r>
        <w:t xml:space="preserve">Position Rules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22"/>
        </w:numPr>
      </w:pPr>
      <w:r>
        <w:t xml:space="preserve">Position shall reference a valid Instrument.</w:t>
      </w:r>
    </w:p>
    <w:p>
      <w:pPr>
        <w:pStyle w:val="Compact"/>
        <w:numPr>
          <w:ilvl w:val="0"/>
          <w:numId w:val="1022"/>
        </w:numPr>
      </w:pPr>
      <w:r>
        <w:t xml:space="preserve">Quantity semantics shall remain explicit.</w:t>
      </w:r>
    </w:p>
    <w:p>
      <w:pPr>
        <w:pStyle w:val="Compact"/>
        <w:numPr>
          <w:ilvl w:val="0"/>
          <w:numId w:val="1022"/>
        </w:numPr>
      </w:pPr>
      <w:r>
        <w:t xml:space="preserve">State transitions shall remain valid.</w:t>
      </w:r>
    </w:p>
    <w:p>
      <w:pPr>
        <w:pStyle w:val="Compact"/>
        <w:numPr>
          <w:ilvl w:val="0"/>
          <w:numId w:val="1022"/>
        </w:numPr>
      </w:pPr>
      <w:r>
        <w:t xml:space="preserve">Closed positions shall not silently return to Open.</w:t>
      </w:r>
    </w:p>
    <w:p>
      <w:pPr>
        <w:pStyle w:val="Compact"/>
        <w:numPr>
          <w:ilvl w:val="0"/>
          <w:numId w:val="1022"/>
        </w:numPr>
      </w:pPr>
      <w:r>
        <w:t xml:space="preserve">Missing average price shall remain unavailable.</w:t>
      </w:r>
    </w:p>
    <w:bookmarkEnd w:id="34"/>
    <w:bookmarkStart w:id="35" w:name="position-events"/>
    <w:p>
      <w:pPr>
        <w:pStyle w:val="Heading2"/>
      </w:pPr>
      <w:r>
        <w:t xml:space="preserve">Position Events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23"/>
        </w:numPr>
      </w:pPr>
      <w:r>
        <w:t xml:space="preserve">PositionOpened</w:t>
      </w:r>
    </w:p>
    <w:p>
      <w:pPr>
        <w:pStyle w:val="Compact"/>
        <w:numPr>
          <w:ilvl w:val="0"/>
          <w:numId w:val="1023"/>
        </w:numPr>
      </w:pPr>
      <w:r>
        <w:t xml:space="preserve">PositionUpdated</w:t>
      </w:r>
    </w:p>
    <w:p>
      <w:pPr>
        <w:pStyle w:val="Compact"/>
        <w:numPr>
          <w:ilvl w:val="0"/>
          <w:numId w:val="1023"/>
        </w:numPr>
      </w:pPr>
      <w:r>
        <w:t xml:space="preserve">PositionClosing</w:t>
      </w:r>
    </w:p>
    <w:p>
      <w:pPr>
        <w:pStyle w:val="Compact"/>
        <w:numPr>
          <w:ilvl w:val="0"/>
          <w:numId w:val="1023"/>
        </w:numPr>
      </w:pPr>
      <w:r>
        <w:t xml:space="preserve">PositionClosed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orders"/>
    <w:p>
      <w:pPr>
        <w:pStyle w:val="Heading1"/>
      </w:pPr>
      <w:r>
        <w:t xml:space="preserve">Orders</w:t>
      </w:r>
    </w:p>
    <w:p>
      <w:pPr>
        <w:pStyle w:val="FirstParagraph"/>
      </w:pPr>
      <w:r>
        <w:t xml:space="preserve">The Order capability represents the business lifecycle of a trading order.</w:t>
      </w:r>
    </w:p>
    <w:bookmarkStart w:id="37" w:name="order"/>
    <w:p>
      <w:pPr>
        <w:pStyle w:val="Heading2"/>
      </w:pPr>
      <w:r>
        <w:t xml:space="preserve">Order</w:t>
      </w:r>
    </w:p>
    <w:p>
      <w:pPr>
        <w:pStyle w:val="FirstParagraph"/>
      </w:pPr>
      <w:r>
        <w:t xml:space="preserve">Order is an Aggregate Root.</w:t>
      </w:r>
    </w:p>
    <w:p>
      <w:pPr>
        <w:pStyle w:val="BodyText"/>
      </w:pPr>
      <w:r>
        <w:t xml:space="preserve">Typical state may include:</w:t>
      </w:r>
    </w:p>
    <w:p>
      <w:pPr>
        <w:pStyle w:val="Compact"/>
        <w:numPr>
          <w:ilvl w:val="0"/>
          <w:numId w:val="1024"/>
        </w:numPr>
      </w:pPr>
      <w:r>
        <w:t xml:space="preserve">OrderId</w:t>
      </w:r>
    </w:p>
    <w:p>
      <w:pPr>
        <w:pStyle w:val="Compact"/>
        <w:numPr>
          <w:ilvl w:val="0"/>
          <w:numId w:val="1024"/>
        </w:numPr>
      </w:pPr>
      <w:r>
        <w:t xml:space="preserve">InstrumentId</w:t>
      </w:r>
    </w:p>
    <w:p>
      <w:pPr>
        <w:pStyle w:val="Compact"/>
        <w:numPr>
          <w:ilvl w:val="0"/>
          <w:numId w:val="1024"/>
        </w:numPr>
      </w:pPr>
      <w:r>
        <w:t xml:space="preserve">Action</w:t>
      </w:r>
    </w:p>
    <w:p>
      <w:pPr>
        <w:pStyle w:val="Compact"/>
        <w:numPr>
          <w:ilvl w:val="0"/>
          <w:numId w:val="1024"/>
        </w:numPr>
      </w:pPr>
      <w:r>
        <w:t xml:space="preserve">Quantity</w:t>
      </w:r>
    </w:p>
    <w:p>
      <w:pPr>
        <w:pStyle w:val="Compact"/>
        <w:numPr>
          <w:ilvl w:val="0"/>
          <w:numId w:val="1024"/>
        </w:numPr>
      </w:pPr>
      <w:r>
        <w:t xml:space="preserve">OrderType</w:t>
      </w:r>
    </w:p>
    <w:p>
      <w:pPr>
        <w:pStyle w:val="Compact"/>
        <w:numPr>
          <w:ilvl w:val="0"/>
          <w:numId w:val="1024"/>
        </w:numPr>
      </w:pPr>
      <w:r>
        <w:t xml:space="preserve">PriceParameters</w:t>
      </w:r>
    </w:p>
    <w:p>
      <w:pPr>
        <w:pStyle w:val="Compact"/>
        <w:numPr>
          <w:ilvl w:val="0"/>
          <w:numId w:val="1024"/>
        </w:numPr>
      </w:pPr>
      <w:r>
        <w:t xml:space="preserve">OrderStatus</w:t>
      </w:r>
    </w:p>
    <w:p>
      <w:pPr>
        <w:pStyle w:val="Compact"/>
        <w:numPr>
          <w:ilvl w:val="0"/>
          <w:numId w:val="1024"/>
        </w:numPr>
      </w:pPr>
      <w:r>
        <w:t xml:space="preserve">CreatedAt</w:t>
      </w:r>
    </w:p>
    <w:p>
      <w:pPr>
        <w:pStyle w:val="Compact"/>
        <w:numPr>
          <w:ilvl w:val="0"/>
          <w:numId w:val="1024"/>
        </w:numPr>
      </w:pPr>
      <w:r>
        <w:t xml:space="preserve">UpdatedAt</w:t>
      </w:r>
    </w:p>
    <w:p>
      <w:pPr>
        <w:pStyle w:val="FirstParagraph"/>
      </w:pPr>
      <w:r>
        <w:t xml:space="preserve">Possible order states may include:</w:t>
      </w:r>
    </w:p>
    <w:p>
      <w:pPr>
        <w:pStyle w:val="Compact"/>
        <w:numPr>
          <w:ilvl w:val="0"/>
          <w:numId w:val="1025"/>
        </w:numPr>
      </w:pPr>
      <w:r>
        <w:t xml:space="preserve">Draft</w:t>
      </w:r>
    </w:p>
    <w:p>
      <w:pPr>
        <w:pStyle w:val="Compact"/>
        <w:numPr>
          <w:ilvl w:val="0"/>
          <w:numId w:val="1025"/>
        </w:numPr>
      </w:pPr>
      <w:r>
        <w:t xml:space="preserve">Validated</w:t>
      </w:r>
    </w:p>
    <w:p>
      <w:pPr>
        <w:pStyle w:val="Compact"/>
        <w:numPr>
          <w:ilvl w:val="0"/>
          <w:numId w:val="1025"/>
        </w:numPr>
      </w:pPr>
      <w:r>
        <w:t xml:space="preserve">Submitted</w:t>
      </w:r>
    </w:p>
    <w:p>
      <w:pPr>
        <w:pStyle w:val="Compact"/>
        <w:numPr>
          <w:ilvl w:val="0"/>
          <w:numId w:val="1025"/>
        </w:numPr>
      </w:pPr>
      <w:r>
        <w:t xml:space="preserve">Acknowledged</w:t>
      </w:r>
    </w:p>
    <w:p>
      <w:pPr>
        <w:pStyle w:val="Compact"/>
        <w:numPr>
          <w:ilvl w:val="0"/>
          <w:numId w:val="1025"/>
        </w:numPr>
      </w:pPr>
      <w:r>
        <w:t xml:space="preserve">PartiallyFilled</w:t>
      </w:r>
    </w:p>
    <w:p>
      <w:pPr>
        <w:pStyle w:val="Compact"/>
        <w:numPr>
          <w:ilvl w:val="0"/>
          <w:numId w:val="1025"/>
        </w:numPr>
      </w:pPr>
      <w:r>
        <w:t xml:space="preserve">Filled</w:t>
      </w:r>
    </w:p>
    <w:p>
      <w:pPr>
        <w:pStyle w:val="Compact"/>
        <w:numPr>
          <w:ilvl w:val="0"/>
          <w:numId w:val="1025"/>
        </w:numPr>
      </w:pPr>
      <w:r>
        <w:t xml:space="preserve">CancelPending</w:t>
      </w:r>
    </w:p>
    <w:p>
      <w:pPr>
        <w:pStyle w:val="Compact"/>
        <w:numPr>
          <w:ilvl w:val="0"/>
          <w:numId w:val="1025"/>
        </w:numPr>
      </w:pPr>
      <w:r>
        <w:t xml:space="preserve">Cancelled</w:t>
      </w:r>
    </w:p>
    <w:p>
      <w:pPr>
        <w:pStyle w:val="Compact"/>
        <w:numPr>
          <w:ilvl w:val="0"/>
          <w:numId w:val="1025"/>
        </w:numPr>
      </w:pPr>
      <w:r>
        <w:t xml:space="preserve">Rejected</w:t>
      </w:r>
    </w:p>
    <w:bookmarkEnd w:id="37"/>
    <w:bookmarkStart w:id="38" w:name="order-invariants"/>
    <w:p>
      <w:pPr>
        <w:pStyle w:val="Heading2"/>
      </w:pPr>
      <w:r>
        <w:t xml:space="preserve">Order Invariants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26"/>
        </w:numPr>
      </w:pPr>
      <w:r>
        <w:t xml:space="preserve">Order shall reference a valid Instrument.</w:t>
      </w:r>
    </w:p>
    <w:p>
      <w:pPr>
        <w:pStyle w:val="Compact"/>
        <w:numPr>
          <w:ilvl w:val="0"/>
          <w:numId w:val="1026"/>
        </w:numPr>
      </w:pPr>
      <w:r>
        <w:t xml:space="preserve">Quantity shall satisfy order rules.</w:t>
      </w:r>
    </w:p>
    <w:p>
      <w:pPr>
        <w:pStyle w:val="Compact"/>
        <w:numPr>
          <w:ilvl w:val="0"/>
          <w:numId w:val="1026"/>
        </w:numPr>
      </w:pPr>
      <w:r>
        <w:t xml:space="preserve">Required price parameters shall exist for the selected order type.</w:t>
      </w:r>
    </w:p>
    <w:p>
      <w:pPr>
        <w:pStyle w:val="Compact"/>
        <w:numPr>
          <w:ilvl w:val="0"/>
          <w:numId w:val="1026"/>
        </w:numPr>
      </w:pPr>
      <w:r>
        <w:t xml:space="preserve">Invalid orders shall not enter Submitted state.</w:t>
      </w:r>
    </w:p>
    <w:p>
      <w:pPr>
        <w:pStyle w:val="Compact"/>
        <w:numPr>
          <w:ilvl w:val="0"/>
          <w:numId w:val="1026"/>
        </w:numPr>
      </w:pPr>
      <w:r>
        <w:t xml:space="preserve">Filled orders shall not return to Submitted.</w:t>
      </w:r>
    </w:p>
    <w:p>
      <w:pPr>
        <w:pStyle w:val="Compact"/>
        <w:numPr>
          <w:ilvl w:val="0"/>
          <w:numId w:val="1026"/>
        </w:numPr>
      </w:pPr>
      <w:r>
        <w:t xml:space="preserve">Rejected orders shall preserve rejection state.</w:t>
      </w:r>
    </w:p>
    <w:bookmarkEnd w:id="38"/>
    <w:bookmarkStart w:id="39" w:name="order-validation"/>
    <w:p>
      <w:pPr>
        <w:pStyle w:val="Heading2"/>
      </w:pPr>
      <w:r>
        <w:t xml:space="preserve">Order Validation</w:t>
      </w:r>
    </w:p>
    <w:p>
      <w:pPr>
        <w:pStyle w:val="FirstParagraph"/>
      </w:pPr>
      <w:r>
        <w:t xml:space="preserve">Order validation is domain logic where validation depends on business rules.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27"/>
        </w:numPr>
      </w:pPr>
      <w:r>
        <w:t xml:space="preserve">valid quantity</w:t>
      </w:r>
    </w:p>
    <w:p>
      <w:pPr>
        <w:pStyle w:val="Compact"/>
        <w:numPr>
          <w:ilvl w:val="0"/>
          <w:numId w:val="1027"/>
        </w:numPr>
      </w:pPr>
      <w:r>
        <w:t xml:space="preserve">valid action</w:t>
      </w:r>
    </w:p>
    <w:p>
      <w:pPr>
        <w:pStyle w:val="Compact"/>
        <w:numPr>
          <w:ilvl w:val="0"/>
          <w:numId w:val="1027"/>
        </w:numPr>
      </w:pPr>
      <w:r>
        <w:t xml:space="preserve">valid order type</w:t>
      </w:r>
    </w:p>
    <w:p>
      <w:pPr>
        <w:pStyle w:val="Compact"/>
        <w:numPr>
          <w:ilvl w:val="0"/>
          <w:numId w:val="1027"/>
        </w:numPr>
      </w:pPr>
      <w:r>
        <w:t xml:space="preserve">required price parameters</w:t>
      </w:r>
    </w:p>
    <w:p>
      <w:pPr>
        <w:pStyle w:val="Compact"/>
        <w:numPr>
          <w:ilvl w:val="0"/>
          <w:numId w:val="1027"/>
        </w:numPr>
      </w:pPr>
      <w:r>
        <w:t xml:space="preserve">supported instrument constraints</w:t>
      </w:r>
    </w:p>
    <w:p>
      <w:pPr>
        <w:pStyle w:val="FirstParagraph"/>
      </w:pPr>
      <w:r>
        <w:t xml:space="preserve">Broker-specific technical validation remains in the broker adapter.</w:t>
      </w:r>
    </w:p>
    <w:bookmarkEnd w:id="39"/>
    <w:bookmarkStart w:id="40" w:name="order-events"/>
    <w:p>
      <w:pPr>
        <w:pStyle w:val="Heading2"/>
      </w:pPr>
      <w:r>
        <w:t xml:space="preserve">Order Events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28"/>
        </w:numPr>
      </w:pPr>
      <w:r>
        <w:t xml:space="preserve">OrderCreated</w:t>
      </w:r>
    </w:p>
    <w:p>
      <w:pPr>
        <w:pStyle w:val="Compact"/>
        <w:numPr>
          <w:ilvl w:val="0"/>
          <w:numId w:val="1028"/>
        </w:numPr>
      </w:pPr>
      <w:r>
        <w:t xml:space="preserve">OrderValidated</w:t>
      </w:r>
    </w:p>
    <w:p>
      <w:pPr>
        <w:pStyle w:val="Compact"/>
        <w:numPr>
          <w:ilvl w:val="0"/>
          <w:numId w:val="1028"/>
        </w:numPr>
      </w:pPr>
      <w:r>
        <w:t xml:space="preserve">OrderSubmitted</w:t>
      </w:r>
    </w:p>
    <w:p>
      <w:pPr>
        <w:pStyle w:val="Compact"/>
        <w:numPr>
          <w:ilvl w:val="0"/>
          <w:numId w:val="1028"/>
        </w:numPr>
      </w:pPr>
      <w:r>
        <w:t xml:space="preserve">OrderAcknowledged</w:t>
      </w:r>
    </w:p>
    <w:p>
      <w:pPr>
        <w:pStyle w:val="Compact"/>
        <w:numPr>
          <w:ilvl w:val="0"/>
          <w:numId w:val="1028"/>
        </w:numPr>
      </w:pPr>
      <w:r>
        <w:t xml:space="preserve">OrderPartiallyFilled</w:t>
      </w:r>
    </w:p>
    <w:p>
      <w:pPr>
        <w:pStyle w:val="Compact"/>
        <w:numPr>
          <w:ilvl w:val="0"/>
          <w:numId w:val="1028"/>
        </w:numPr>
      </w:pPr>
      <w:r>
        <w:t xml:space="preserve">OrderFilled</w:t>
      </w:r>
    </w:p>
    <w:p>
      <w:pPr>
        <w:pStyle w:val="Compact"/>
        <w:numPr>
          <w:ilvl w:val="0"/>
          <w:numId w:val="1028"/>
        </w:numPr>
      </w:pPr>
      <w:r>
        <w:t xml:space="preserve">OrderCancellationRequested</w:t>
      </w:r>
    </w:p>
    <w:p>
      <w:pPr>
        <w:pStyle w:val="Compact"/>
        <w:numPr>
          <w:ilvl w:val="0"/>
          <w:numId w:val="1028"/>
        </w:numPr>
      </w:pPr>
      <w:r>
        <w:t xml:space="preserve">OrderCancelled</w:t>
      </w:r>
    </w:p>
    <w:p>
      <w:pPr>
        <w:pStyle w:val="Compact"/>
        <w:numPr>
          <w:ilvl w:val="0"/>
          <w:numId w:val="1028"/>
        </w:numPr>
      </w:pPr>
      <w:r>
        <w:t xml:space="preserve">OrderRejected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risk"/>
    <w:p>
      <w:pPr>
        <w:pStyle w:val="Heading1"/>
      </w:pPr>
      <w:r>
        <w:t xml:space="preserve">Risk</w:t>
      </w:r>
    </w:p>
    <w:p>
      <w:pPr>
        <w:pStyle w:val="FirstParagraph"/>
      </w:pPr>
      <w:r>
        <w:t xml:space="preserve">The Risk capability represents available trading and portfolio risk context.</w:t>
      </w:r>
    </w:p>
    <w:p>
      <w:pPr>
        <w:pStyle w:val="BodyText"/>
      </w:pPr>
      <w:r>
        <w:t xml:space="preserve">Risk information may include:</w:t>
      </w:r>
    </w:p>
    <w:p>
      <w:pPr>
        <w:pStyle w:val="Compact"/>
        <w:numPr>
          <w:ilvl w:val="0"/>
          <w:numId w:val="1029"/>
        </w:numPr>
      </w:pPr>
      <w:r>
        <w:t xml:space="preserve">Portfolio Exposure</w:t>
      </w:r>
    </w:p>
    <w:p>
      <w:pPr>
        <w:pStyle w:val="Compact"/>
        <w:numPr>
          <w:ilvl w:val="0"/>
          <w:numId w:val="1029"/>
        </w:numPr>
      </w:pPr>
      <w:r>
        <w:t xml:space="preserve">Position Exposure</w:t>
      </w:r>
    </w:p>
    <w:p>
      <w:pPr>
        <w:pStyle w:val="Compact"/>
        <w:numPr>
          <w:ilvl w:val="0"/>
          <w:numId w:val="1029"/>
        </w:numPr>
      </w:pPr>
      <w:r>
        <w:t xml:space="preserve">Concentration</w:t>
      </w:r>
    </w:p>
    <w:p>
      <w:pPr>
        <w:pStyle w:val="Compact"/>
        <w:numPr>
          <w:ilvl w:val="0"/>
          <w:numId w:val="1029"/>
        </w:numPr>
      </w:pPr>
      <w:r>
        <w:t xml:space="preserve">Margin Context</w:t>
      </w:r>
    </w:p>
    <w:p>
      <w:pPr>
        <w:pStyle w:val="Compact"/>
        <w:numPr>
          <w:ilvl w:val="0"/>
          <w:numId w:val="1029"/>
        </w:numPr>
      </w:pPr>
      <w:r>
        <w:t xml:space="preserve">Risk Limits</w:t>
      </w:r>
    </w:p>
    <w:p>
      <w:pPr>
        <w:pStyle w:val="FirstParagraph"/>
      </w:pPr>
      <w:r>
        <w:t xml:space="preserve">Risk values shall preserve:</w:t>
      </w:r>
    </w:p>
    <w:p>
      <w:pPr>
        <w:pStyle w:val="Compact"/>
        <w:numPr>
          <w:ilvl w:val="0"/>
          <w:numId w:val="1030"/>
        </w:numPr>
      </w:pPr>
      <w:r>
        <w:t xml:space="preserve">value</w:t>
      </w:r>
    </w:p>
    <w:p>
      <w:pPr>
        <w:pStyle w:val="Compact"/>
        <w:numPr>
          <w:ilvl w:val="0"/>
          <w:numId w:val="1030"/>
        </w:numPr>
      </w:pPr>
      <w:r>
        <w:t xml:space="preserve">source context where business-relevant</w:t>
      </w:r>
    </w:p>
    <w:p>
      <w:pPr>
        <w:pStyle w:val="Compact"/>
        <w:numPr>
          <w:ilvl w:val="0"/>
          <w:numId w:val="1030"/>
        </w:numPr>
      </w:pPr>
      <w:r>
        <w:t xml:space="preserve">availability state</w:t>
      </w:r>
    </w:p>
    <w:p>
      <w:pPr>
        <w:pStyle w:val="Compact"/>
        <w:numPr>
          <w:ilvl w:val="0"/>
          <w:numId w:val="1030"/>
        </w:numPr>
      </w:pPr>
      <w:r>
        <w:t xml:space="preserve">timestamp where time-dependent</w:t>
      </w:r>
    </w:p>
    <w:p>
      <w:pPr>
        <w:pStyle w:val="FirstParagraph"/>
      </w:pPr>
      <w:r>
        <w:t xml:space="preserve">Unavailable risk information shall remain explicitly unavailable.</w:t>
      </w:r>
    </w:p>
    <w:bookmarkStart w:id="42" w:name="risk-rules"/>
    <w:p>
      <w:pPr>
        <w:pStyle w:val="Heading2"/>
      </w:pPr>
      <w:r>
        <w:t xml:space="preserve">Risk Rules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31"/>
        </w:numPr>
      </w:pPr>
      <w:r>
        <w:t xml:space="preserve">risk values shall preserve measurement context</w:t>
      </w:r>
    </w:p>
    <w:p>
      <w:pPr>
        <w:pStyle w:val="Compact"/>
        <w:numPr>
          <w:ilvl w:val="0"/>
          <w:numId w:val="1031"/>
        </w:numPr>
      </w:pPr>
      <w:r>
        <w:t xml:space="preserve">incompatible currencies shall not be combined silently</w:t>
      </w:r>
    </w:p>
    <w:p>
      <w:pPr>
        <w:pStyle w:val="Compact"/>
        <w:numPr>
          <w:ilvl w:val="0"/>
          <w:numId w:val="1031"/>
        </w:numPr>
      </w:pPr>
      <w:r>
        <w:t xml:space="preserve">unavailable values shall not be treated as zero</w:t>
      </w:r>
    </w:p>
    <w:p>
      <w:pPr>
        <w:pStyle w:val="Compact"/>
        <w:numPr>
          <w:ilvl w:val="0"/>
          <w:numId w:val="1031"/>
        </w:numPr>
      </w:pPr>
      <w:r>
        <w:t xml:space="preserve">risk limit violations shall remain explicit</w:t>
      </w:r>
    </w:p>
    <w:bookmarkEnd w:id="42"/>
    <w:bookmarkStart w:id="43" w:name="risk-events"/>
    <w:p>
      <w:pPr>
        <w:pStyle w:val="Heading2"/>
      </w:pPr>
      <w:r>
        <w:t xml:space="preserve">Risk Events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32"/>
        </w:numPr>
      </w:pPr>
      <w:r>
        <w:t xml:space="preserve">RiskContextUpdated</w:t>
      </w:r>
    </w:p>
    <w:p>
      <w:pPr>
        <w:pStyle w:val="Compact"/>
        <w:numPr>
          <w:ilvl w:val="0"/>
          <w:numId w:val="1032"/>
        </w:numPr>
      </w:pPr>
      <w:r>
        <w:t xml:space="preserve">RiskLimitExceeded</w:t>
      </w:r>
    </w:p>
    <w:p>
      <w:pPr>
        <w:pStyle w:val="Compact"/>
        <w:numPr>
          <w:ilvl w:val="0"/>
          <w:numId w:val="1032"/>
        </w:numPr>
      </w:pPr>
      <w:r>
        <w:t xml:space="preserve">RiskStateChanged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trading-review"/>
    <w:p>
      <w:pPr>
        <w:pStyle w:val="Heading1"/>
      </w:pPr>
      <w:r>
        <w:t xml:space="preserve">Trading Review</w:t>
      </w:r>
    </w:p>
    <w:p>
      <w:pPr>
        <w:pStyle w:val="FirstParagraph"/>
      </w:pPr>
      <w:r>
        <w:t xml:space="preserve">Trading Review represents the business capability for reviewing trading decisions and outcomes.</w:t>
      </w:r>
    </w:p>
    <w:p>
      <w:pPr>
        <w:pStyle w:val="BodyText"/>
      </w:pPr>
      <w:r>
        <w:t xml:space="preserve">It connects historical:</w:t>
      </w:r>
    </w:p>
    <w:p>
      <w:pPr>
        <w:pStyle w:val="Compact"/>
        <w:numPr>
          <w:ilvl w:val="0"/>
          <w:numId w:val="1033"/>
        </w:numPr>
      </w:pPr>
      <w:r>
        <w:t xml:space="preserve">Trading Candidates</w:t>
      </w:r>
    </w:p>
    <w:p>
      <w:pPr>
        <w:pStyle w:val="Compact"/>
        <w:numPr>
          <w:ilvl w:val="0"/>
          <w:numId w:val="1033"/>
        </w:numPr>
      </w:pPr>
      <w:r>
        <w:t xml:space="preserve">Trading Decisions</w:t>
      </w:r>
    </w:p>
    <w:p>
      <w:pPr>
        <w:pStyle w:val="Compact"/>
        <w:numPr>
          <w:ilvl w:val="0"/>
          <w:numId w:val="1033"/>
        </w:numPr>
      </w:pPr>
      <w:r>
        <w:t xml:space="preserve">Orders</w:t>
      </w:r>
    </w:p>
    <w:p>
      <w:pPr>
        <w:pStyle w:val="Compact"/>
        <w:numPr>
          <w:ilvl w:val="0"/>
          <w:numId w:val="1033"/>
        </w:numPr>
      </w:pPr>
      <w:r>
        <w:t xml:space="preserve">Executions</w:t>
      </w:r>
    </w:p>
    <w:p>
      <w:pPr>
        <w:pStyle w:val="Compact"/>
        <w:numPr>
          <w:ilvl w:val="0"/>
          <w:numId w:val="1033"/>
        </w:numPr>
      </w:pPr>
      <w:r>
        <w:t xml:space="preserve">Positions</w:t>
      </w:r>
    </w:p>
    <w:p>
      <w:pPr>
        <w:pStyle w:val="Compact"/>
        <w:numPr>
          <w:ilvl w:val="0"/>
          <w:numId w:val="1033"/>
        </w:numPr>
      </w:pPr>
      <w:r>
        <w:t xml:space="preserve">Outcomes</w:t>
      </w:r>
    </w:p>
    <w:bookmarkStart w:id="45" w:name="trade-review"/>
    <w:p>
      <w:pPr>
        <w:pStyle w:val="Heading2"/>
      </w:pPr>
      <w:r>
        <w:t xml:space="preserve">Trade Review</w:t>
      </w:r>
    </w:p>
    <w:p>
      <w:pPr>
        <w:pStyle w:val="FirstParagraph"/>
      </w:pPr>
      <w:r>
        <w:t xml:space="preserve">A Trade Review may represent a completed or reviewable trading workflow.</w:t>
      </w:r>
    </w:p>
    <w:p>
      <w:pPr>
        <w:pStyle w:val="BodyText"/>
      </w:pPr>
      <w:r>
        <w:t xml:space="preserve">Typical state may include:</w:t>
      </w:r>
    </w:p>
    <w:p>
      <w:pPr>
        <w:pStyle w:val="Compact"/>
        <w:numPr>
          <w:ilvl w:val="0"/>
          <w:numId w:val="1034"/>
        </w:numPr>
      </w:pPr>
      <w:r>
        <w:t xml:space="preserve">ReviewId</w:t>
      </w:r>
    </w:p>
    <w:p>
      <w:pPr>
        <w:pStyle w:val="Compact"/>
        <w:numPr>
          <w:ilvl w:val="0"/>
          <w:numId w:val="1034"/>
        </w:numPr>
      </w:pPr>
      <w:r>
        <w:t xml:space="preserve">DecisionId</w:t>
      </w:r>
    </w:p>
    <w:p>
      <w:pPr>
        <w:pStyle w:val="Compact"/>
        <w:numPr>
          <w:ilvl w:val="0"/>
          <w:numId w:val="1034"/>
        </w:numPr>
      </w:pPr>
      <w:r>
        <w:t xml:space="preserve">InstrumentId</w:t>
      </w:r>
    </w:p>
    <w:p>
      <w:pPr>
        <w:pStyle w:val="Compact"/>
        <w:numPr>
          <w:ilvl w:val="0"/>
          <w:numId w:val="1034"/>
        </w:numPr>
      </w:pPr>
      <w:r>
        <w:t xml:space="preserve">ReviewStatus</w:t>
      </w:r>
    </w:p>
    <w:p>
      <w:pPr>
        <w:pStyle w:val="Compact"/>
        <w:numPr>
          <w:ilvl w:val="0"/>
          <w:numId w:val="1034"/>
        </w:numPr>
      </w:pPr>
      <w:r>
        <w:t xml:space="preserve">Notes</w:t>
      </w:r>
    </w:p>
    <w:p>
      <w:pPr>
        <w:pStyle w:val="Compact"/>
        <w:numPr>
          <w:ilvl w:val="0"/>
          <w:numId w:val="1034"/>
        </w:numPr>
      </w:pPr>
      <w:r>
        <w:t xml:space="preserve">Tags</w:t>
      </w:r>
    </w:p>
    <w:p>
      <w:pPr>
        <w:pStyle w:val="Compact"/>
        <w:numPr>
          <w:ilvl w:val="0"/>
          <w:numId w:val="1034"/>
        </w:numPr>
      </w:pPr>
      <w:r>
        <w:t xml:space="preserve">OutcomeReference</w:t>
      </w:r>
    </w:p>
    <w:p>
      <w:pPr>
        <w:pStyle w:val="Compact"/>
        <w:numPr>
          <w:ilvl w:val="0"/>
          <w:numId w:val="1034"/>
        </w:numPr>
      </w:pPr>
      <w:r>
        <w:t xml:space="preserve">CreatedAt</w:t>
      </w:r>
    </w:p>
    <w:p>
      <w:pPr>
        <w:pStyle w:val="Compact"/>
        <w:numPr>
          <w:ilvl w:val="0"/>
          <w:numId w:val="1034"/>
        </w:numPr>
      </w:pPr>
      <w:r>
        <w:t xml:space="preserve">UpdatedAt</w:t>
      </w:r>
    </w:p>
    <w:bookmarkEnd w:id="45"/>
    <w:bookmarkStart w:id="46" w:name="trading-review-rules"/>
    <w:p>
      <w:pPr>
        <w:pStyle w:val="Heading2"/>
      </w:pPr>
      <w:r>
        <w:t xml:space="preserve">Trading Review Rules</w:t>
      </w:r>
    </w:p>
    <w:p>
      <w:pPr>
        <w:pStyle w:val="FirstParagraph"/>
      </w:pPr>
      <w:r>
        <w:t xml:space="preserve">A review shall preserve references to the historical trading workflow.</w:t>
      </w:r>
    </w:p>
    <w:p>
      <w:pPr>
        <w:pStyle w:val="BodyText"/>
      </w:pPr>
      <w:r>
        <w:t xml:space="preserve">Historical business state shall not be silently rewritten to match later state.</w:t>
      </w:r>
    </w:p>
    <w:p>
      <w:pPr>
        <w:pStyle w:val="BodyText"/>
      </w:pPr>
      <w:r>
        <w:t xml:space="preserve">Corrections shall remain traceable where practical.</w:t>
      </w:r>
    </w:p>
    <w:bookmarkEnd w:id="46"/>
    <w:bookmarkStart w:id="47" w:name="trading-review-events"/>
    <w:p>
      <w:pPr>
        <w:pStyle w:val="Heading2"/>
      </w:pPr>
      <w:r>
        <w:t xml:space="preserve">Trading Review Events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35"/>
        </w:numPr>
      </w:pPr>
      <w:r>
        <w:t xml:space="preserve">TradeReviewCreated</w:t>
      </w:r>
    </w:p>
    <w:p>
      <w:pPr>
        <w:pStyle w:val="Compact"/>
        <w:numPr>
          <w:ilvl w:val="0"/>
          <w:numId w:val="1035"/>
        </w:numPr>
      </w:pPr>
      <w:r>
        <w:t xml:space="preserve">TradeReviewUpdated</w:t>
      </w:r>
    </w:p>
    <w:p>
      <w:pPr>
        <w:pStyle w:val="Compact"/>
        <w:numPr>
          <w:ilvl w:val="0"/>
          <w:numId w:val="1035"/>
        </w:numPr>
      </w:pPr>
      <w:r>
        <w:t xml:space="preserve">TradeReviewCompleted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value-objects"/>
    <w:p>
      <w:pPr>
        <w:pStyle w:val="Heading1"/>
      </w:pPr>
      <w:r>
        <w:t xml:space="preserve">Value Objects</w:t>
      </w:r>
    </w:p>
    <w:p>
      <w:pPr>
        <w:pStyle w:val="FirstParagraph"/>
      </w:pPr>
      <w:r>
        <w:t xml:space="preserve">Value Objects represent immutable business values.</w:t>
      </w:r>
    </w:p>
    <w:p>
      <w:pPr>
        <w:pStyle w:val="BodyText"/>
      </w:pPr>
      <w:r>
        <w:t xml:space="preserve">Initial Value Objects may include:</w:t>
      </w:r>
    </w:p>
    <w:p>
      <w:pPr>
        <w:pStyle w:val="Compact"/>
        <w:numPr>
          <w:ilvl w:val="0"/>
          <w:numId w:val="1036"/>
        </w:numPr>
      </w:pPr>
      <w:r>
        <w:t xml:space="preserve">InstrumentId</w:t>
      </w:r>
    </w:p>
    <w:p>
      <w:pPr>
        <w:pStyle w:val="Compact"/>
        <w:numPr>
          <w:ilvl w:val="0"/>
          <w:numId w:val="1036"/>
        </w:numPr>
      </w:pPr>
      <w:r>
        <w:t xml:space="preserve">WatchlistId</w:t>
      </w:r>
    </w:p>
    <w:p>
      <w:pPr>
        <w:pStyle w:val="Compact"/>
        <w:numPr>
          <w:ilvl w:val="0"/>
          <w:numId w:val="1036"/>
        </w:numPr>
      </w:pPr>
      <w:r>
        <w:t xml:space="preserve">CandidateId</w:t>
      </w:r>
    </w:p>
    <w:p>
      <w:pPr>
        <w:pStyle w:val="Compact"/>
        <w:numPr>
          <w:ilvl w:val="0"/>
          <w:numId w:val="1036"/>
        </w:numPr>
      </w:pPr>
      <w:r>
        <w:t xml:space="preserve">DecisionId</w:t>
      </w:r>
    </w:p>
    <w:p>
      <w:pPr>
        <w:pStyle w:val="Compact"/>
        <w:numPr>
          <w:ilvl w:val="0"/>
          <w:numId w:val="1036"/>
        </w:numPr>
      </w:pPr>
      <w:r>
        <w:t xml:space="preserve">PortfolioId</w:t>
      </w:r>
    </w:p>
    <w:p>
      <w:pPr>
        <w:pStyle w:val="Compact"/>
        <w:numPr>
          <w:ilvl w:val="0"/>
          <w:numId w:val="1036"/>
        </w:numPr>
      </w:pPr>
      <w:r>
        <w:t xml:space="preserve">PositionId</w:t>
      </w:r>
    </w:p>
    <w:p>
      <w:pPr>
        <w:pStyle w:val="Compact"/>
        <w:numPr>
          <w:ilvl w:val="0"/>
          <w:numId w:val="1036"/>
        </w:numPr>
      </w:pPr>
      <w:r>
        <w:t xml:space="preserve">OrderId</w:t>
      </w:r>
    </w:p>
    <w:p>
      <w:pPr>
        <w:pStyle w:val="Compact"/>
        <w:numPr>
          <w:ilvl w:val="0"/>
          <w:numId w:val="1036"/>
        </w:numPr>
      </w:pPr>
      <w:r>
        <w:t xml:space="preserve">Symbol</w:t>
      </w:r>
    </w:p>
    <w:p>
      <w:pPr>
        <w:pStyle w:val="Compact"/>
        <w:numPr>
          <w:ilvl w:val="0"/>
          <w:numId w:val="1036"/>
        </w:numPr>
      </w:pPr>
      <w:r>
        <w:t xml:space="preserve">Price</w:t>
      </w:r>
    </w:p>
    <w:p>
      <w:pPr>
        <w:pStyle w:val="Compact"/>
        <w:numPr>
          <w:ilvl w:val="0"/>
          <w:numId w:val="1036"/>
        </w:numPr>
      </w:pPr>
      <w:r>
        <w:t xml:space="preserve">Quantity</w:t>
      </w:r>
    </w:p>
    <w:p>
      <w:pPr>
        <w:pStyle w:val="Compact"/>
        <w:numPr>
          <w:ilvl w:val="0"/>
          <w:numId w:val="1036"/>
        </w:numPr>
      </w:pPr>
      <w:r>
        <w:t xml:space="preserve">Money</w:t>
      </w:r>
    </w:p>
    <w:p>
      <w:pPr>
        <w:pStyle w:val="Compact"/>
        <w:numPr>
          <w:ilvl w:val="0"/>
          <w:numId w:val="1036"/>
        </w:numPr>
      </w:pPr>
      <w:r>
        <w:t xml:space="preserve">Currency</w:t>
      </w:r>
    </w:p>
    <w:p>
      <w:pPr>
        <w:pStyle w:val="Compact"/>
        <w:numPr>
          <w:ilvl w:val="0"/>
          <w:numId w:val="1036"/>
        </w:numPr>
      </w:pPr>
      <w:r>
        <w:t xml:space="preserve">Percentage</w:t>
      </w:r>
    </w:p>
    <w:p>
      <w:pPr>
        <w:pStyle w:val="Compact"/>
        <w:numPr>
          <w:ilvl w:val="0"/>
          <w:numId w:val="1036"/>
        </w:numPr>
      </w:pPr>
      <w:r>
        <w:t xml:space="preserve">Timestamp</w:t>
      </w:r>
    </w:p>
    <w:p>
      <w:pPr>
        <w:pStyle w:val="FirstParagraph"/>
      </w:pPr>
      <w:r>
        <w:t xml:space="preserve">Value Objects shall be immutable.</w:t>
      </w:r>
    </w:p>
    <w:p>
      <w:pPr>
        <w:pStyle w:val="BodyText"/>
      </w:pPr>
      <w:r>
        <w:t xml:space="preserve">Value Objects shall validate their own invariants where appropriate.</w:t>
      </w:r>
    </w:p>
    <w:p>
      <w:r>
        <w:pict>
          <v:rect style="width:0;height:1.5pt" o:hralign="center" o:hrstd="t" o:hr="t"/>
        </w:pict>
      </w:r>
    </w:p>
    <w:bookmarkEnd w:id="49"/>
    <w:bookmarkStart w:id="50" w:name="money"/>
    <w:p>
      <w:pPr>
        <w:pStyle w:val="Heading1"/>
      </w:pPr>
      <w:r>
        <w:t xml:space="preserve">Money</w:t>
      </w:r>
    </w:p>
    <w:p>
      <w:pPr>
        <w:pStyle w:val="FirstParagraph"/>
      </w:pPr>
      <w:r>
        <w:t xml:space="preserve">Money represents a monetary amount with currency context.</w:t>
      </w:r>
    </w:p>
    <w:p>
      <w:pPr>
        <w:pStyle w:val="BodyText"/>
      </w:pPr>
      <w:r>
        <w:t xml:space="preserve">Money shall contain:</w:t>
      </w:r>
    </w:p>
    <w:p>
      <w:pPr>
        <w:pStyle w:val="Compact"/>
        <w:numPr>
          <w:ilvl w:val="0"/>
          <w:numId w:val="1037"/>
        </w:numPr>
      </w:pPr>
      <w:r>
        <w:t xml:space="preserve">Amount</w:t>
      </w:r>
    </w:p>
    <w:p>
      <w:pPr>
        <w:pStyle w:val="Compact"/>
        <w:numPr>
          <w:ilvl w:val="0"/>
          <w:numId w:val="1037"/>
        </w:numPr>
      </w:pPr>
      <w:r>
        <w:t xml:space="preserve">Currency</w:t>
      </w:r>
    </w:p>
    <w:p>
      <w:pPr>
        <w:pStyle w:val="FirstParagraph"/>
      </w:pPr>
      <w:r>
        <w:t xml:space="preserve">Money values with incompatible currencies shall not be combined silently.</w:t>
      </w:r>
    </w:p>
    <w:p>
      <w:pPr>
        <w:pStyle w:val="BodyText"/>
      </w:pPr>
      <w:r>
        <w:t xml:space="preserve">Currency conversion requires explicit conversion context.</w:t>
      </w:r>
    </w:p>
    <w:p>
      <w:r>
        <w:pict>
          <v:rect style="width:0;height:1.5pt" o:hralign="center" o:hrstd="t" o:hr="t"/>
        </w:pict>
      </w:r>
    </w:p>
    <w:bookmarkEnd w:id="50"/>
    <w:bookmarkStart w:id="51" w:name="price"/>
    <w:p>
      <w:pPr>
        <w:pStyle w:val="Heading1"/>
      </w:pPr>
      <w:r>
        <w:t xml:space="preserve">Price</w:t>
      </w:r>
    </w:p>
    <w:p>
      <w:pPr>
        <w:pStyle w:val="FirstParagraph"/>
      </w:pPr>
      <w:r>
        <w:t xml:space="preserve">Price represents an instrument price.</w:t>
      </w:r>
    </w:p>
    <w:p>
      <w:pPr>
        <w:pStyle w:val="BodyText"/>
      </w:pPr>
      <w:r>
        <w:t xml:space="preserve">Price shall preserve numeric precision appropriate to the business requirement.</w:t>
      </w:r>
    </w:p>
    <w:p>
      <w:pPr>
        <w:pStyle w:val="BodyText"/>
      </w:pPr>
      <w:r>
        <w:t xml:space="preserve">Price shall not contain provider-specific transport logic.</w:t>
      </w:r>
    </w:p>
    <w:p>
      <w:r>
        <w:pict>
          <v:rect style="width:0;height:1.5pt" o:hralign="center" o:hrstd="t" o:hr="t"/>
        </w:pict>
      </w:r>
    </w:p>
    <w:bookmarkEnd w:id="51"/>
    <w:bookmarkStart w:id="52" w:name="quantity"/>
    <w:p>
      <w:pPr>
        <w:pStyle w:val="Heading1"/>
      </w:pPr>
      <w:r>
        <w:t xml:space="preserve">Quantity</w:t>
      </w:r>
    </w:p>
    <w:p>
      <w:pPr>
        <w:pStyle w:val="FirstParagraph"/>
      </w:pPr>
      <w:r>
        <w:t xml:space="preserve">Quantity represents an instrument quantity.</w:t>
      </w:r>
    </w:p>
    <w:p>
      <w:pPr>
        <w:pStyle w:val="BodyText"/>
      </w:pPr>
      <w:r>
        <w:t xml:space="preserve">Quantity semantics may depend on instrument type.</w:t>
      </w:r>
    </w:p>
    <w:p>
      <w:pPr>
        <w:pStyle w:val="BodyText"/>
      </w:pPr>
      <w:r>
        <w:t xml:space="preserve">The Domain shall avoid implicit assumptions that all quantities represent whole shares.</w:t>
      </w:r>
    </w:p>
    <w:p>
      <w:r>
        <w:pict>
          <v:rect style="width:0;height:1.5pt" o:hralign="center" o:hrstd="t" o:hr="t"/>
        </w:pict>
      </w:r>
    </w:p>
    <w:bookmarkEnd w:id="52"/>
    <w:bookmarkStart w:id="53" w:name="percentage"/>
    <w:p>
      <w:pPr>
        <w:pStyle w:val="Heading1"/>
      </w:pPr>
      <w:r>
        <w:t xml:space="preserve">Percentage</w:t>
      </w:r>
    </w:p>
    <w:p>
      <w:pPr>
        <w:pStyle w:val="FirstParagraph"/>
      </w:pPr>
      <w:r>
        <w:t xml:space="preserve">Percentage represents a normalized percentage value.</w:t>
      </w:r>
    </w:p>
    <w:p>
      <w:pPr>
        <w:pStyle w:val="BodyText"/>
      </w:pPr>
      <w:r>
        <w:t xml:space="preserve">The internal representation shall be defined consistently.</w:t>
      </w:r>
    </w:p>
    <w:p>
      <w:pPr>
        <w:pStyle w:val="BodyText"/>
      </w:pPr>
      <w:r>
        <w:t xml:space="preserve">The system shall avoid mixing decimal and display percentage semantics implicitly.</w:t>
      </w:r>
    </w:p>
    <w:p>
      <w:r>
        <w:pict>
          <v:rect style="width:0;height:1.5pt" o:hralign="center" o:hrstd="t" o:hr="t"/>
        </w:pict>
      </w:r>
    </w:p>
    <w:bookmarkEnd w:id="53"/>
    <w:bookmarkStart w:id="54" w:name="timestamp"/>
    <w:p>
      <w:pPr>
        <w:pStyle w:val="Heading1"/>
      </w:pPr>
      <w:r>
        <w:t xml:space="preserve">Timestamp</w:t>
      </w:r>
    </w:p>
    <w:p>
      <w:pPr>
        <w:pStyle w:val="FirstParagraph"/>
      </w:pPr>
      <w:r>
        <w:t xml:space="preserve">Timestamp represents business-relevant time.</w:t>
      </w:r>
    </w:p>
    <w:p>
      <w:pPr>
        <w:pStyle w:val="BodyText"/>
      </w:pPr>
      <w:r>
        <w:t xml:space="preserve">Timezone context shall remain explicit.</w:t>
      </w:r>
    </w:p>
    <w:p>
      <w:pPr>
        <w:pStyle w:val="BodyText"/>
      </w:pPr>
      <w:r>
        <w:t xml:space="preserve">The Domain shall not silently mix timezone semantics.</w:t>
      </w:r>
    </w:p>
    <w:p>
      <w:r>
        <w:pict>
          <v:rect style="width:0;height:1.5pt" o:hralign="center" o:hrstd="t" o:hr="t"/>
        </w:pict>
      </w:r>
    </w:p>
    <w:bookmarkEnd w:id="54"/>
    <w:bookmarkStart w:id="55" w:name="aggregates"/>
    <w:p>
      <w:pPr>
        <w:pStyle w:val="Heading1"/>
      </w:pPr>
      <w:r>
        <w:t xml:space="preserve">Aggregates</w:t>
      </w:r>
    </w:p>
    <w:p>
      <w:pPr>
        <w:pStyle w:val="FirstParagraph"/>
      </w:pPr>
      <w:r>
        <w:t xml:space="preserve">Initial Aggregate Roots include:</w:t>
      </w:r>
    </w:p>
    <w:p>
      <w:pPr>
        <w:pStyle w:val="Compact"/>
        <w:numPr>
          <w:ilvl w:val="0"/>
          <w:numId w:val="1038"/>
        </w:numPr>
      </w:pPr>
      <w:r>
        <w:t xml:space="preserve">Watchlist</w:t>
      </w:r>
    </w:p>
    <w:p>
      <w:pPr>
        <w:pStyle w:val="Compact"/>
        <w:numPr>
          <w:ilvl w:val="0"/>
          <w:numId w:val="1038"/>
        </w:numPr>
      </w:pPr>
      <w:r>
        <w:t xml:space="preserve">Trading Candidate</w:t>
      </w:r>
    </w:p>
    <w:p>
      <w:pPr>
        <w:pStyle w:val="Compact"/>
        <w:numPr>
          <w:ilvl w:val="0"/>
          <w:numId w:val="1038"/>
        </w:numPr>
      </w:pPr>
      <w:r>
        <w:t xml:space="preserve">Trading Decision</w:t>
      </w:r>
    </w:p>
    <w:p>
      <w:pPr>
        <w:pStyle w:val="Compact"/>
        <w:numPr>
          <w:ilvl w:val="0"/>
          <w:numId w:val="1038"/>
        </w:numPr>
      </w:pPr>
      <w:r>
        <w:t xml:space="preserve">Portfolio</w:t>
      </w:r>
    </w:p>
    <w:p>
      <w:pPr>
        <w:pStyle w:val="Compact"/>
        <w:numPr>
          <w:ilvl w:val="0"/>
          <w:numId w:val="1038"/>
        </w:numPr>
      </w:pPr>
      <w:r>
        <w:t xml:space="preserve">Position</w:t>
      </w:r>
    </w:p>
    <w:p>
      <w:pPr>
        <w:pStyle w:val="Compact"/>
        <w:numPr>
          <w:ilvl w:val="0"/>
          <w:numId w:val="1038"/>
        </w:numPr>
      </w:pPr>
      <w:r>
        <w:t xml:space="preserve">Order</w:t>
      </w:r>
    </w:p>
    <w:p>
      <w:pPr>
        <w:pStyle w:val="FirstParagraph"/>
      </w:pPr>
      <w:r>
        <w:t xml:space="preserve">Trade Review may become an Aggregate Root when review lifecycle requirements justify independent consistency boundaries.</w:t>
      </w:r>
    </w:p>
    <w:p>
      <w:pPr>
        <w:pStyle w:val="BodyText"/>
      </w:pPr>
      <w:r>
        <w:t xml:space="preserve">Aggregate boundaries shall be based on business consistency requirements.</w:t>
      </w:r>
    </w:p>
    <w:p>
      <w:pPr>
        <w:pStyle w:val="BodyText"/>
      </w:pPr>
      <w:r>
        <w:t xml:space="preserve">Avoid large aggregates that coordinate unrelated capabilities.</w:t>
      </w:r>
    </w:p>
    <w:p>
      <w:r>
        <w:pict>
          <v:rect style="width:0;height:1.5pt" o:hralign="center" o:hrstd="t" o:hr="t"/>
        </w:pict>
      </w:r>
    </w:p>
    <w:bookmarkEnd w:id="55"/>
    <w:bookmarkStart w:id="56" w:name="domain-services"/>
    <w:p>
      <w:pPr>
        <w:pStyle w:val="Heading1"/>
      </w:pPr>
      <w:r>
        <w:t xml:space="preserve">Domain Services</w:t>
      </w:r>
    </w:p>
    <w:p>
      <w:pPr>
        <w:pStyle w:val="FirstParagraph"/>
      </w:pPr>
      <w:r>
        <w:t xml:space="preserve">Domain Services contain business logic that does not naturally belong to one Entity or Value Object.</w:t>
      </w:r>
    </w:p>
    <w:p>
      <w:pPr>
        <w:pStyle w:val="BodyText"/>
      </w:pPr>
      <w:r>
        <w:t xml:space="preserve">Potential Domain Services include:</w:t>
      </w:r>
    </w:p>
    <w:p>
      <w:pPr>
        <w:pStyle w:val="Compact"/>
        <w:numPr>
          <w:ilvl w:val="0"/>
          <w:numId w:val="1039"/>
        </w:numPr>
      </w:pPr>
      <w:r>
        <w:t xml:space="preserve">Order Validation</w:t>
      </w:r>
    </w:p>
    <w:p>
      <w:pPr>
        <w:pStyle w:val="Compact"/>
        <w:numPr>
          <w:ilvl w:val="0"/>
          <w:numId w:val="1039"/>
        </w:numPr>
      </w:pPr>
      <w:r>
        <w:t xml:space="preserve">Risk Evaluation</w:t>
      </w:r>
    </w:p>
    <w:p>
      <w:pPr>
        <w:pStyle w:val="Compact"/>
        <w:numPr>
          <w:ilvl w:val="0"/>
          <w:numId w:val="1039"/>
        </w:numPr>
      </w:pPr>
      <w:r>
        <w:t xml:space="preserve">Portfolio Consistency Evaluation</w:t>
      </w:r>
    </w:p>
    <w:p>
      <w:pPr>
        <w:pStyle w:val="Compact"/>
        <w:numPr>
          <w:ilvl w:val="0"/>
          <w:numId w:val="1039"/>
        </w:numPr>
      </w:pPr>
      <w:r>
        <w:t xml:space="preserve">Position State Evaluation</w:t>
      </w:r>
    </w:p>
    <w:p>
      <w:pPr>
        <w:pStyle w:val="FirstParagraph"/>
      </w:pPr>
      <w:r>
        <w:t xml:space="preserve">Domain Services shall remain stateless where practical.</w:t>
      </w:r>
    </w:p>
    <w:p>
      <w:pPr>
        <w:pStyle w:val="BodyText"/>
      </w:pPr>
      <w:r>
        <w:t xml:space="preserve">Technical orchestration belongs to the Application layer.</w:t>
      </w:r>
    </w:p>
    <w:p>
      <w:r>
        <w:pict>
          <v:rect style="width:0;height:1.5pt" o:hralign="center" o:hrstd="t" o:hr="t"/>
        </w:pict>
      </w:r>
    </w:p>
    <w:bookmarkEnd w:id="56"/>
    <w:bookmarkStart w:id="57" w:name="domain-events"/>
    <w:p>
      <w:pPr>
        <w:pStyle w:val="Heading1"/>
      </w:pPr>
      <w:r>
        <w:t xml:space="preserve">Domain Events</w:t>
      </w:r>
    </w:p>
    <w:p>
      <w:pPr>
        <w:pStyle w:val="FirstParagraph"/>
      </w:pPr>
      <w:r>
        <w:t xml:space="preserve">Domain Events represent meaningful business state changes.</w:t>
      </w:r>
    </w:p>
    <w:p>
      <w:pPr>
        <w:pStyle w:val="BodyText"/>
      </w:pPr>
      <w:r>
        <w:t xml:space="preserve">Events shall:</w:t>
      </w:r>
    </w:p>
    <w:p>
      <w:pPr>
        <w:pStyle w:val="Compact"/>
        <w:numPr>
          <w:ilvl w:val="0"/>
          <w:numId w:val="1040"/>
        </w:numPr>
      </w:pPr>
      <w:r>
        <w:t xml:space="preserve">use business language</w:t>
      </w:r>
    </w:p>
    <w:p>
      <w:pPr>
        <w:pStyle w:val="Compact"/>
        <w:numPr>
          <w:ilvl w:val="0"/>
          <w:numId w:val="1040"/>
        </w:numPr>
      </w:pPr>
      <w:r>
        <w:t xml:space="preserve">be immutable</w:t>
      </w:r>
    </w:p>
    <w:p>
      <w:pPr>
        <w:pStyle w:val="Compact"/>
        <w:numPr>
          <w:ilvl w:val="0"/>
          <w:numId w:val="1040"/>
        </w:numPr>
      </w:pPr>
      <w:r>
        <w:t xml:space="preserve">represent completed state changes</w:t>
      </w:r>
    </w:p>
    <w:p>
      <w:pPr>
        <w:pStyle w:val="Compact"/>
        <w:numPr>
          <w:ilvl w:val="0"/>
          <w:numId w:val="1040"/>
        </w:numPr>
      </w:pPr>
      <w:r>
        <w:t xml:space="preserve">contain sufficient business identity</w:t>
      </w:r>
    </w:p>
    <w:p>
      <w:pPr>
        <w:pStyle w:val="Compact"/>
        <w:numPr>
          <w:ilvl w:val="0"/>
          <w:numId w:val="1040"/>
        </w:numPr>
      </w:pPr>
      <w:r>
        <w:t xml:space="preserve">avoid infrastructure-specific information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41"/>
        </w:numPr>
      </w:pPr>
      <w:r>
        <w:t xml:space="preserve">TradingCandidateCreated</w:t>
      </w:r>
    </w:p>
    <w:p>
      <w:pPr>
        <w:pStyle w:val="Compact"/>
        <w:numPr>
          <w:ilvl w:val="0"/>
          <w:numId w:val="1041"/>
        </w:numPr>
      </w:pPr>
      <w:r>
        <w:t xml:space="preserve">TradingDecisionAccepted</w:t>
      </w:r>
    </w:p>
    <w:p>
      <w:pPr>
        <w:pStyle w:val="Compact"/>
        <w:numPr>
          <w:ilvl w:val="0"/>
          <w:numId w:val="1041"/>
        </w:numPr>
      </w:pPr>
      <w:r>
        <w:t xml:space="preserve">OrderSubmitted</w:t>
      </w:r>
    </w:p>
    <w:p>
      <w:pPr>
        <w:pStyle w:val="Compact"/>
        <w:numPr>
          <w:ilvl w:val="0"/>
          <w:numId w:val="1041"/>
        </w:numPr>
      </w:pPr>
      <w:r>
        <w:t xml:space="preserve">OrderFilled</w:t>
      </w:r>
    </w:p>
    <w:p>
      <w:pPr>
        <w:pStyle w:val="Compact"/>
        <w:numPr>
          <w:ilvl w:val="0"/>
          <w:numId w:val="1041"/>
        </w:numPr>
      </w:pPr>
      <w:r>
        <w:t xml:space="preserve">PositionOpened</w:t>
      </w:r>
    </w:p>
    <w:p>
      <w:pPr>
        <w:pStyle w:val="Compact"/>
        <w:numPr>
          <w:ilvl w:val="0"/>
          <w:numId w:val="1041"/>
        </w:numPr>
      </w:pPr>
      <w:r>
        <w:t xml:space="preserve">PositionClosed</w:t>
      </w:r>
    </w:p>
    <w:p>
      <w:pPr>
        <w:pStyle w:val="Compact"/>
        <w:numPr>
          <w:ilvl w:val="0"/>
          <w:numId w:val="1041"/>
        </w:numPr>
      </w:pPr>
      <w:r>
        <w:t xml:space="preserve">RiskLimitExceeded</w:t>
      </w:r>
    </w:p>
    <w:p>
      <w:pPr>
        <w:pStyle w:val="FirstParagraph"/>
      </w:pPr>
      <w:r>
        <w:t xml:space="preserve">Domain Events shall not be used as arbitrary method-call replacements.</w:t>
      </w:r>
    </w:p>
    <w:p>
      <w:r>
        <w:pict>
          <v:rect style="width:0;height:1.5pt" o:hralign="center" o:hrstd="t" o:hr="t"/>
        </w:pict>
      </w:r>
    </w:p>
    <w:bookmarkEnd w:id="57"/>
    <w:bookmarkStart w:id="58" w:name="repository-abstractions"/>
    <w:p>
      <w:pPr>
        <w:pStyle w:val="Heading1"/>
      </w:pPr>
      <w:r>
        <w:t xml:space="preserve">Repository Abstractions</w:t>
      </w:r>
    </w:p>
    <w:p>
      <w:pPr>
        <w:pStyle w:val="FirstParagraph"/>
      </w:pPr>
      <w:r>
        <w:t xml:space="preserve">Repository abstractions may be defined in the Domain or Application layer depending on ownership and use-case requirements.</w:t>
      </w:r>
    </w:p>
    <w:p>
      <w:pPr>
        <w:pStyle w:val="BodyText"/>
      </w:pPr>
      <w:r>
        <w:t xml:space="preserve">Implementations belong to Infrastructure.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```text</w:t>
      </w:r>
      <w:r>
        <w:t xml:space="preserve"> </w:t>
      </w:r>
      <w:r>
        <w:t xml:space="preserve">OrderRepository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SqlAlchemyOrderRepository</w:t>
      </w:r>
    </w:p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2026-07-06T17:13:58Z</dcterms:created>
  <dcterms:modified xsi:type="dcterms:W3CDTF">2026-07-06T17:13:58Z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