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ding-standards"/>
    <w:p>
      <w:pPr>
        <w:pStyle w:val="Heading1"/>
      </w:pPr>
      <w:r>
        <w:t xml:space="preserve">Coding Standards</w:t>
      </w:r>
    </w:p>
    <w:p>
      <w:pPr>
        <w:pStyle w:val="FirstParagraph"/>
      </w:pPr>
      <w:r>
        <w:t xml:space="preserve">Version: 1.0</w:t>
      </w:r>
    </w:p>
    <w:p>
      <w:r>
        <w:pict>
          <v:rect style="width:0;height:1.5pt" o:hralign="center" o:hrstd="t" o:hr="t"/>
        </w:pict>
      </w:r>
    </w:p>
    <w:bookmarkEnd w:id="9"/>
    <w:bookmarkStart w:id="10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document defines the coding standards for Trading Platform Pro and its primary application, the Trading Cockpit.</w:t>
      </w:r>
    </w:p>
    <w:p>
      <w:pPr>
        <w:pStyle w:val="BodyText"/>
      </w:pPr>
      <w:r>
        <w:t xml:space="preserve">The objective is to maintain a readable, deterministic, strongly typed and testable codebase.</w:t>
      </w:r>
    </w:p>
    <w:p>
      <w:pPr>
        <w:pStyle w:val="BodyText"/>
      </w:pPr>
      <w:r>
        <w:t xml:space="preserve">Trading-critical code requires particular care because technical side effects may affect external broker state.</w:t>
      </w:r>
    </w:p>
    <w:p>
      <w:pPr>
        <w:pStyle w:val="BodyText"/>
      </w:pPr>
      <w:r>
        <w:t xml:space="preserve">Code shall preserve the documented architecture boundaries and explicit workflow ownership.</w:t>
      </w:r>
    </w:p>
    <w:p>
      <w:r>
        <w:pict>
          <v:rect style="width:0;height:1.5pt" o:hralign="center" o:hrstd="t" o:hr="t"/>
        </w:pict>
      </w:r>
    </w:p>
    <w:bookmarkEnd w:id="10"/>
    <w:bookmarkStart w:id="11" w:name="general-principles"/>
    <w:p>
      <w:pPr>
        <w:pStyle w:val="Heading1"/>
      </w:pPr>
      <w:r>
        <w:t xml:space="preserve">General Principles</w:t>
      </w:r>
    </w:p>
    <w:p>
      <w:pPr>
        <w:pStyle w:val="FirstParagraph"/>
      </w:pPr>
      <w:r>
        <w:t xml:space="preserve">Every line of code should be:</w:t>
      </w:r>
    </w:p>
    <w:p>
      <w:pPr>
        <w:pStyle w:val="Compact"/>
        <w:numPr>
          <w:ilvl w:val="0"/>
          <w:numId w:val="1001"/>
        </w:numPr>
      </w:pPr>
      <w:r>
        <w:t xml:space="preserve">readable</w:t>
      </w:r>
    </w:p>
    <w:p>
      <w:pPr>
        <w:pStyle w:val="Compact"/>
        <w:numPr>
          <w:ilvl w:val="0"/>
          <w:numId w:val="1001"/>
        </w:numPr>
      </w:pPr>
      <w:r>
        <w:t xml:space="preserve">maintainable</w:t>
      </w:r>
    </w:p>
    <w:p>
      <w:pPr>
        <w:pStyle w:val="Compact"/>
        <w:numPr>
          <w:ilvl w:val="0"/>
          <w:numId w:val="1001"/>
        </w:numPr>
      </w:pPr>
      <w:r>
        <w:t xml:space="preserve">testable</w:t>
      </w:r>
    </w:p>
    <w:p>
      <w:pPr>
        <w:pStyle w:val="Compact"/>
        <w:numPr>
          <w:ilvl w:val="0"/>
          <w:numId w:val="1001"/>
        </w:numPr>
      </w:pPr>
      <w:r>
        <w:t xml:space="preserve">deterministic</w:t>
      </w:r>
    </w:p>
    <w:p>
      <w:pPr>
        <w:pStyle w:val="Compact"/>
        <w:numPr>
          <w:ilvl w:val="0"/>
          <w:numId w:val="1001"/>
        </w:numPr>
      </w:pPr>
      <w:r>
        <w:t xml:space="preserve">explicit</w:t>
      </w:r>
    </w:p>
    <w:p>
      <w:pPr>
        <w:pStyle w:val="FirstParagraph"/>
      </w:pPr>
      <w:r>
        <w:t xml:space="preserve">Code is written for humans first.</w:t>
      </w:r>
    </w:p>
    <w:p>
      <w:pPr>
        <w:pStyle w:val="BodyText"/>
      </w:pPr>
      <w:r>
        <w:t xml:space="preserve">Prefer simple and explicit implementations over clever abstractions.</w:t>
      </w:r>
    </w:p>
    <w:p>
      <w:pPr>
        <w:pStyle w:val="BodyText"/>
      </w:pPr>
      <w:r>
        <w:t xml:space="preserve">Avoid introducing generic infrastructure for hypothetical future requirements.</w:t>
      </w:r>
    </w:p>
    <w:p>
      <w:r>
        <w:pict>
          <v:rect style="width:0;height:1.5pt" o:hralign="center" o:hrstd="t" o:hr="t"/>
        </w:pict>
      </w:r>
    </w:p>
    <w:bookmarkEnd w:id="11"/>
    <w:bookmarkStart w:id="12" w:name="python-version"/>
    <w:p>
      <w:pPr>
        <w:pStyle w:val="Heading1"/>
      </w:pPr>
      <w:r>
        <w:t xml:space="preserve">Python Version</w:t>
      </w:r>
    </w:p>
    <w:p>
      <w:pPr>
        <w:pStyle w:val="FirstParagraph"/>
      </w:pPr>
      <w:r>
        <w:t xml:space="preserve">Mandatory:</w:t>
      </w:r>
    </w:p>
    <w:p>
      <w:pPr>
        <w:pStyle w:val="Compact"/>
        <w:numPr>
          <w:ilvl w:val="0"/>
          <w:numId w:val="1002"/>
        </w:numPr>
      </w:pPr>
      <w:r>
        <w:t xml:space="preserve">Python 3.13</w:t>
      </w:r>
    </w:p>
    <w:p>
      <w:pPr>
        <w:pStyle w:val="FirstParagraph"/>
      </w:pPr>
      <w:r>
        <w:t xml:space="preserve">The supported Python version shall remain synchronized with:</w:t>
      </w:r>
    </w:p>
    <w:p>
      <w:pPr>
        <w:pStyle w:val="Compact"/>
        <w:numPr>
          <w:ilvl w:val="0"/>
          <w:numId w:val="1003"/>
        </w:numPr>
      </w:pPr>
      <w:r>
        <w:t xml:space="preserve">dependency definitions</w:t>
      </w:r>
    </w:p>
    <w:p>
      <w:pPr>
        <w:pStyle w:val="Compact"/>
        <w:numPr>
          <w:ilvl w:val="0"/>
          <w:numId w:val="1003"/>
        </w:numPr>
      </w:pPr>
      <w:r>
        <w:t xml:space="preserve">CI configuration</w:t>
      </w:r>
    </w:p>
    <w:p>
      <w:pPr>
        <w:pStyle w:val="Compact"/>
        <w:numPr>
          <w:ilvl w:val="0"/>
          <w:numId w:val="1003"/>
        </w:numPr>
      </w:pPr>
      <w:r>
        <w:t xml:space="preserve">development documentation</w:t>
      </w:r>
    </w:p>
    <w:p>
      <w:r>
        <w:pict>
          <v:rect style="width:0;height:1.5pt" o:hralign="center" o:hrstd="t" o:hr="t"/>
        </w:pict>
      </w:r>
    </w:p>
    <w:bookmarkEnd w:id="12"/>
    <w:bookmarkStart w:id="13" w:name="file-encoding"/>
    <w:p>
      <w:pPr>
        <w:pStyle w:val="Heading1"/>
      </w:pPr>
      <w:r>
        <w:t xml:space="preserve">File Encoding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04"/>
        </w:numPr>
      </w:pPr>
      <w:r>
        <w:t xml:space="preserve">UTF-8</w:t>
      </w:r>
    </w:p>
    <w:p>
      <w:pPr>
        <w:pStyle w:val="Compact"/>
        <w:numPr>
          <w:ilvl w:val="0"/>
          <w:numId w:val="1004"/>
        </w:numPr>
      </w:pPr>
      <w:r>
        <w:t xml:space="preserve">Unix line endings (LF)</w:t>
      </w:r>
    </w:p>
    <w:p>
      <w:pPr>
        <w:pStyle w:val="FirstParagraph"/>
      </w:pPr>
      <w:r>
        <w:t xml:space="preserve">Repository formatting rules shall remain consistent across development environments.</w:t>
      </w:r>
    </w:p>
    <w:p>
      <w:r>
        <w:pict>
          <v:rect style="width:0;height:1.5pt" o:hralign="center" o:hrstd="t" o:hr="t"/>
        </w:pict>
      </w:r>
    </w:p>
    <w:bookmarkEnd w:id="13"/>
    <w:bookmarkStart w:id="14" w:name="required-imports"/>
    <w:p>
      <w:pPr>
        <w:pStyle w:val="Heading1"/>
      </w:pPr>
      <w:r>
        <w:t xml:space="preserve">Required Imports</w:t>
      </w:r>
    </w:p>
    <w:p>
      <w:pPr>
        <w:pStyle w:val="FirstParagraph"/>
      </w:pPr>
      <w:r>
        <w:t xml:space="preserve">Every Python module should begin with:</w:t>
      </w:r>
    </w:p>
    <w:p>
      <w:pPr>
        <w:pStyle w:val="SourceCode"/>
      </w:pPr>
      <w:r>
        <w:rPr>
          <w:rStyle w:val="VerbatimChar"/>
        </w:rPr>
        <w:t xml:space="preserve">from __future__ import annotations</w:t>
      </w:r>
    </w:p>
    <w:p>
      <w:pPr>
        <w:pStyle w:val="FirstParagraph"/>
      </w:pPr>
      <w:r>
        <w:t xml:space="preserve">unless a documented technical reason prevents its use.</w:t>
      </w:r>
    </w:p>
    <w:p>
      <w:r>
        <w:pict>
          <v:rect style="width:0;height:1.5pt" o:hralign="center" o:hrstd="t" o:hr="t"/>
        </w:pict>
      </w:r>
    </w:p>
    <w:bookmarkEnd w:id="14"/>
    <w:bookmarkStart w:id="15" w:name="type-hints"/>
    <w:p>
      <w:pPr>
        <w:pStyle w:val="Heading1"/>
      </w:pPr>
      <w:r>
        <w:t xml:space="preserve">Type Hints</w:t>
      </w:r>
    </w:p>
    <w:p>
      <w:pPr>
        <w:pStyle w:val="FirstParagraph"/>
      </w:pPr>
      <w:r>
        <w:t xml:space="preserve">Type hints are mandatory for:</w:t>
      </w:r>
    </w:p>
    <w:p>
      <w:pPr>
        <w:pStyle w:val="Compact"/>
        <w:numPr>
          <w:ilvl w:val="0"/>
          <w:numId w:val="1005"/>
        </w:numPr>
      </w:pPr>
      <w:r>
        <w:t xml:space="preserve">function parameters</w:t>
      </w:r>
    </w:p>
    <w:p>
      <w:pPr>
        <w:pStyle w:val="Compact"/>
        <w:numPr>
          <w:ilvl w:val="0"/>
          <w:numId w:val="1005"/>
        </w:numPr>
      </w:pPr>
      <w:r>
        <w:t xml:space="preserve">return values</w:t>
      </w:r>
    </w:p>
    <w:p>
      <w:pPr>
        <w:pStyle w:val="Compact"/>
        <w:numPr>
          <w:ilvl w:val="0"/>
          <w:numId w:val="1005"/>
        </w:numPr>
      </w:pPr>
      <w:r>
        <w:t xml:space="preserve">public attributes</w:t>
      </w:r>
    </w:p>
    <w:p>
      <w:pPr>
        <w:pStyle w:val="Compact"/>
        <w:numPr>
          <w:ilvl w:val="0"/>
          <w:numId w:val="1005"/>
        </w:numPr>
      </w:pPr>
      <w:r>
        <w:t xml:space="preserve">public interfaces</w:t>
      </w:r>
    </w:p>
    <w:p>
      <w:pPr>
        <w:pStyle w:val="Compact"/>
        <w:numPr>
          <w:ilvl w:val="0"/>
          <w:numId w:val="1005"/>
        </w:numPr>
      </w:pPr>
      <w:r>
        <w:t xml:space="preserve">ports</w:t>
      </w:r>
    </w:p>
    <w:p>
      <w:pPr>
        <w:pStyle w:val="Compact"/>
        <w:numPr>
          <w:ilvl w:val="0"/>
          <w:numId w:val="1005"/>
        </w:numPr>
      </w:pPr>
      <w:r>
        <w:t xml:space="preserve">repository interfaces</w:t>
      </w:r>
    </w:p>
    <w:p>
      <w:pPr>
        <w:pStyle w:val="Compact"/>
        <w:numPr>
          <w:ilvl w:val="0"/>
          <w:numId w:val="1005"/>
        </w:numPr>
      </w:pPr>
      <w:r>
        <w:t xml:space="preserve">application service interfaces</w:t>
      </w:r>
    </w:p>
    <w:p>
      <w:pPr>
        <w:pStyle w:val="FirstParagraph"/>
      </w:pPr>
      <w:r>
        <w:t xml:space="preserve">Prefer explicit types over</w:t>
      </w:r>
      <w:r>
        <w:t xml:space="preserve"> </w:t>
      </w:r>
      <w:r>
        <w:rPr>
          <w:rStyle w:val="VerbatimChar"/>
        </w:rPr>
        <w:t xml:space="preserve">Any</w:t>
      </w:r>
      <w:r>
        <w:t xml:space="preserve">.</w:t>
      </w:r>
    </w:p>
    <w:p>
      <w:pPr>
        <w:pStyle w:val="BodyText"/>
      </w:pPr>
      <w:r>
        <w:t xml:space="preserve">Avoid generic dictionaries as stable application contracts.</w:t>
      </w:r>
    </w:p>
    <w:p>
      <w:pPr>
        <w:pStyle w:val="BodyText"/>
      </w:pPr>
      <w:r>
        <w:t xml:space="preserve">Avoid:</w:t>
      </w:r>
    </w:p>
    <w:p>
      <w:pPr>
        <w:pStyle w:val="SourceCode"/>
      </w:pPr>
      <w:r>
        <w:rPr>
          <w:rStyle w:val="VerbatimChar"/>
        </w:rPr>
        <w:t xml:space="preserve">def submit_order(data: dict) -&gt; dict:</w:t>
      </w:r>
      <w:r>
        <w:br/>
      </w:r>
      <w:r>
        <w:rPr>
          <w:rStyle w:val="VerbatimChar"/>
        </w:rPr>
        <w:t xml:space="preserve">    ...</w:t>
      </w:r>
    </w:p>
    <w:p>
      <w:pPr>
        <w:pStyle w:val="FirstParagraph"/>
      </w:pPr>
      <w:r>
        <w:t xml:space="preserve">Prefer:</w:t>
      </w:r>
    </w:p>
    <w:p>
      <w:pPr>
        <w:pStyle w:val="SourceCode"/>
      </w:pPr>
      <w:r>
        <w:rPr>
          <w:rStyle w:val="VerbatimChar"/>
        </w:rPr>
        <w:t xml:space="preserve">async def submit_order(</w:t>
      </w:r>
      <w:r>
        <w:br/>
      </w:r>
      <w:r>
        <w:rPr>
          <w:rStyle w:val="VerbatimChar"/>
        </w:rPr>
        <w:t xml:space="preserve">    request: SubmitOrderRequest,</w:t>
      </w:r>
      <w:r>
        <w:br/>
      </w:r>
      <w:r>
        <w:rPr>
          <w:rStyle w:val="VerbatimChar"/>
        </w:rPr>
        <w:t xml:space="preserve">) -&gt; BrokerOrderSubmission:</w:t>
      </w:r>
      <w:r>
        <w:br/>
      </w:r>
      <w:r>
        <w:rPr>
          <w:rStyle w:val="VerbatimChar"/>
        </w:rPr>
        <w:t xml:space="preserve">    ...</w:t>
      </w:r>
    </w:p>
    <w:p>
      <w:r>
        <w:pict>
          <v:rect style="width:0;height:1.5pt" o:hralign="center" o:hrstd="t" o:hr="t"/>
        </w:pict>
      </w:r>
    </w:p>
    <w:bookmarkEnd w:id="15"/>
    <w:bookmarkStart w:id="16" w:name="type-ownership"/>
    <w:p>
      <w:pPr>
        <w:pStyle w:val="Heading1"/>
      </w:pPr>
      <w:r>
        <w:t xml:space="preserve">Type Ownership</w:t>
      </w:r>
    </w:p>
    <w:p>
      <w:pPr>
        <w:pStyle w:val="FirstParagraph"/>
      </w:pPr>
      <w:r>
        <w:t xml:space="preserve">Types shall remain owned by the correct architecture layer.</w:t>
      </w:r>
    </w:p>
    <w:p>
      <w:pPr>
        <w:pStyle w:val="BodyText"/>
      </w:pPr>
      <w:r>
        <w:t xml:space="preserve">Domain owns:</w:t>
      </w:r>
    </w:p>
    <w:p>
      <w:pPr>
        <w:pStyle w:val="Compact"/>
        <w:numPr>
          <w:ilvl w:val="0"/>
          <w:numId w:val="1006"/>
        </w:numPr>
      </w:pPr>
      <w:r>
        <w:t xml:space="preserve">Entities</w:t>
      </w:r>
    </w:p>
    <w:p>
      <w:pPr>
        <w:pStyle w:val="Compact"/>
        <w:numPr>
          <w:ilvl w:val="0"/>
          <w:numId w:val="1006"/>
        </w:numPr>
      </w:pPr>
      <w:r>
        <w:t xml:space="preserve">Value Objects</w:t>
      </w:r>
    </w:p>
    <w:p>
      <w:pPr>
        <w:pStyle w:val="Compact"/>
        <w:numPr>
          <w:ilvl w:val="0"/>
          <w:numId w:val="1006"/>
        </w:numPr>
      </w:pPr>
      <w:r>
        <w:t xml:space="preserve">Domain Events</w:t>
      </w:r>
    </w:p>
    <w:p>
      <w:pPr>
        <w:pStyle w:val="Compact"/>
        <w:numPr>
          <w:ilvl w:val="0"/>
          <w:numId w:val="1006"/>
        </w:numPr>
      </w:pPr>
      <w:r>
        <w:t xml:space="preserve">Domain Exceptions</w:t>
      </w:r>
    </w:p>
    <w:p>
      <w:pPr>
        <w:pStyle w:val="Compact"/>
        <w:numPr>
          <w:ilvl w:val="0"/>
          <w:numId w:val="1006"/>
        </w:numPr>
      </w:pPr>
      <w:r>
        <w:t xml:space="preserve">Domain identities</w:t>
      </w:r>
    </w:p>
    <w:p>
      <w:pPr>
        <w:pStyle w:val="FirstParagraph"/>
      </w:pPr>
      <w:r>
        <w:t xml:space="preserve">Application may own:</w:t>
      </w:r>
    </w:p>
    <w:p>
      <w:pPr>
        <w:pStyle w:val="Compact"/>
        <w:numPr>
          <w:ilvl w:val="0"/>
          <w:numId w:val="1007"/>
        </w:numPr>
      </w:pPr>
      <w:r>
        <w:t xml:space="preserve">Commands</w:t>
      </w:r>
    </w:p>
    <w:p>
      <w:pPr>
        <w:pStyle w:val="Compact"/>
        <w:numPr>
          <w:ilvl w:val="0"/>
          <w:numId w:val="1007"/>
        </w:numPr>
      </w:pPr>
      <w:r>
        <w:t xml:space="preserve">Queries</w:t>
      </w:r>
    </w:p>
    <w:p>
      <w:pPr>
        <w:pStyle w:val="Compact"/>
        <w:numPr>
          <w:ilvl w:val="0"/>
          <w:numId w:val="1007"/>
        </w:numPr>
      </w:pPr>
      <w:r>
        <w:t xml:space="preserve">Application DTOs</w:t>
      </w:r>
    </w:p>
    <w:p>
      <w:pPr>
        <w:pStyle w:val="Compact"/>
        <w:numPr>
          <w:ilvl w:val="0"/>
          <w:numId w:val="1007"/>
        </w:numPr>
      </w:pPr>
      <w:r>
        <w:t xml:space="preserve">application-oriented result types</w:t>
      </w:r>
    </w:p>
    <w:p>
      <w:pPr>
        <w:pStyle w:val="FirstParagraph"/>
      </w:pPr>
      <w:r>
        <w:t xml:space="preserve">Infrastructure owns:</w:t>
      </w:r>
    </w:p>
    <w:p>
      <w:pPr>
        <w:pStyle w:val="Compact"/>
        <w:numPr>
          <w:ilvl w:val="0"/>
          <w:numId w:val="1008"/>
        </w:numPr>
      </w:pPr>
      <w:r>
        <w:t xml:space="preserve">provider models</w:t>
      </w:r>
    </w:p>
    <w:p>
      <w:pPr>
        <w:pStyle w:val="Compact"/>
        <w:numPr>
          <w:ilvl w:val="0"/>
          <w:numId w:val="1008"/>
        </w:numPr>
      </w:pPr>
      <w:r>
        <w:t xml:space="preserve">persistence models</w:t>
      </w:r>
    </w:p>
    <w:p>
      <w:pPr>
        <w:pStyle w:val="Compact"/>
        <w:numPr>
          <w:ilvl w:val="0"/>
          <w:numId w:val="1008"/>
        </w:numPr>
      </w:pPr>
      <w:r>
        <w:t xml:space="preserve">transport models</w:t>
      </w:r>
    </w:p>
    <w:p>
      <w:pPr>
        <w:pStyle w:val="Compact"/>
        <w:numPr>
          <w:ilvl w:val="0"/>
          <w:numId w:val="1008"/>
        </w:numPr>
      </w:pPr>
      <w:r>
        <w:t xml:space="preserve">framework-specific models</w:t>
      </w:r>
    </w:p>
    <w:p>
      <w:pPr>
        <w:pStyle w:val="FirstParagraph"/>
      </w:pPr>
      <w:r>
        <w:t xml:space="preserve">Presentation owns:</w:t>
      </w:r>
    </w:p>
    <w:p>
      <w:pPr>
        <w:pStyle w:val="Compact"/>
        <w:numPr>
          <w:ilvl w:val="0"/>
          <w:numId w:val="1009"/>
        </w:numPr>
      </w:pPr>
      <w:r>
        <w:t xml:space="preserve">widget state</w:t>
      </w:r>
    </w:p>
    <w:p>
      <w:pPr>
        <w:pStyle w:val="Compact"/>
        <w:numPr>
          <w:ilvl w:val="0"/>
          <w:numId w:val="1009"/>
        </w:numPr>
      </w:pPr>
      <w:r>
        <w:t xml:space="preserve">presentation models</w:t>
      </w:r>
    </w:p>
    <w:p>
      <w:pPr>
        <w:pStyle w:val="Compact"/>
        <w:numPr>
          <w:ilvl w:val="0"/>
          <w:numId w:val="1009"/>
        </w:numPr>
      </w:pPr>
      <w:r>
        <w:t xml:space="preserve">UI-specific types</w:t>
      </w:r>
    </w:p>
    <w:p>
      <w:pPr>
        <w:pStyle w:val="FirstParagraph"/>
      </w:pPr>
      <w:r>
        <w:t xml:space="preserve">Types shall not be moved between layers solely to avoid translation code.</w:t>
      </w:r>
    </w:p>
    <w:p>
      <w:r>
        <w:pict>
          <v:rect style="width:0;height:1.5pt" o:hralign="center" o:hrstd="t" o:hr="t"/>
        </w:pict>
      </w:r>
    </w:p>
    <w:bookmarkEnd w:id="16"/>
    <w:bookmarkStart w:id="17" w:name="domain-types"/>
    <w:p>
      <w:pPr>
        <w:pStyle w:val="Heading1"/>
      </w:pPr>
      <w:r>
        <w:t xml:space="preserve">Domain Types</w:t>
      </w:r>
    </w:p>
    <w:p>
      <w:pPr>
        <w:pStyle w:val="FirstParagraph"/>
      </w:pPr>
      <w:r>
        <w:t xml:space="preserve">Domain types shall remain technology-independent.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InstrumentId</w:t>
      </w:r>
      <w:r>
        <w:br/>
      </w:r>
      <w:r>
        <w:rPr>
          <w:rStyle w:val="VerbatimChar"/>
        </w:rPr>
        <w:t xml:space="preserve">OrderId</w:t>
      </w:r>
      <w:r>
        <w:br/>
      </w:r>
      <w:r>
        <w:rPr>
          <w:rStyle w:val="VerbatimChar"/>
        </w:rPr>
        <w:t xml:space="preserve">PositionId</w:t>
      </w:r>
      <w:r>
        <w:br/>
      </w:r>
      <w:r>
        <w:rPr>
          <w:rStyle w:val="VerbatimChar"/>
        </w:rPr>
        <w:t xml:space="preserve">Money</w:t>
      </w:r>
      <w:r>
        <w:br/>
      </w:r>
      <w:r>
        <w:rPr>
          <w:rStyle w:val="VerbatimChar"/>
        </w:rPr>
        <w:t xml:space="preserve">Price</w:t>
      </w:r>
      <w:r>
        <w:br/>
      </w:r>
      <w:r>
        <w:rPr>
          <w:rStyle w:val="VerbatimChar"/>
        </w:rPr>
        <w:t xml:space="preserve">Quantity</w:t>
      </w:r>
    </w:p>
    <w:p>
      <w:pPr>
        <w:pStyle w:val="FirstParagraph"/>
      </w:pPr>
      <w:r>
        <w:t xml:space="preserve">Domain types shall not depend on:</w:t>
      </w:r>
    </w:p>
    <w:p>
      <w:pPr>
        <w:pStyle w:val="Compact"/>
        <w:numPr>
          <w:ilvl w:val="0"/>
          <w:numId w:val="1010"/>
        </w:numPr>
      </w:pPr>
      <w:r>
        <w:t xml:space="preserve">SQLAlchemy</w:t>
      </w:r>
    </w:p>
    <w:p>
      <w:pPr>
        <w:pStyle w:val="Compact"/>
        <w:numPr>
          <w:ilvl w:val="0"/>
          <w:numId w:val="1010"/>
        </w:numPr>
      </w:pPr>
      <w:r>
        <w:t xml:space="preserve">PySide6</w:t>
      </w:r>
    </w:p>
    <w:p>
      <w:pPr>
        <w:pStyle w:val="Compact"/>
        <w:numPr>
          <w:ilvl w:val="0"/>
          <w:numId w:val="1010"/>
        </w:numPr>
      </w:pPr>
      <w:r>
        <w:t xml:space="preserve">broker SDKs</w:t>
      </w:r>
    </w:p>
    <w:p>
      <w:pPr>
        <w:pStyle w:val="Compact"/>
        <w:numPr>
          <w:ilvl w:val="0"/>
          <w:numId w:val="1010"/>
        </w:numPr>
      </w:pPr>
      <w:r>
        <w:t xml:space="preserve">provider payloads</w:t>
      </w:r>
    </w:p>
    <w:p>
      <w:pPr>
        <w:pStyle w:val="Compact"/>
        <w:numPr>
          <w:ilvl w:val="0"/>
          <w:numId w:val="1010"/>
        </w:numPr>
      </w:pPr>
      <w:r>
        <w:t xml:space="preserve">transport frameworks</w:t>
      </w:r>
    </w:p>
    <w:p>
      <w:pPr>
        <w:pStyle w:val="FirstParagraph"/>
      </w:pPr>
      <w:r>
        <w:t xml:space="preserve">Use explicit Domain types when primitive values have business meaning.</w:t>
      </w:r>
    </w:p>
    <w:p>
      <w:pPr>
        <w:pStyle w:val="BodyText"/>
      </w:pPr>
      <w:r>
        <w:t xml:space="preserve">Avoid primitive obsession in business-critical workflows.</w:t>
      </w:r>
    </w:p>
    <w:p>
      <w:r>
        <w:pict>
          <v:rect style="width:0;height:1.5pt" o:hralign="center" o:hrstd="t" o:hr="t"/>
        </w:pict>
      </w:r>
    </w:p>
    <w:bookmarkEnd w:id="17"/>
    <w:bookmarkStart w:id="18" w:name="commands-and-queries"/>
    <w:p>
      <w:pPr>
        <w:pStyle w:val="Heading1"/>
      </w:pPr>
      <w:r>
        <w:t xml:space="preserve">Commands and Queries</w:t>
      </w:r>
    </w:p>
    <w:p>
      <w:pPr>
        <w:pStyle w:val="FirstParagraph"/>
      </w:pPr>
      <w:r>
        <w:t xml:space="preserve">Application operations should use explicit Commands or Queries where they clarify workflow intent.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@dataclass(frozen=True)</w:t>
      </w:r>
      <w:r>
        <w:br/>
      </w:r>
      <w:r>
        <w:rPr>
          <w:rStyle w:val="VerbatimChar"/>
        </w:rPr>
        <w:t xml:space="preserve">class CreateOrderCommand:</w:t>
      </w:r>
      <w:r>
        <w:br/>
      </w:r>
      <w:r>
        <w:rPr>
          <w:rStyle w:val="VerbatimChar"/>
        </w:rPr>
        <w:t xml:space="preserve">    decision_id: TradingDecisionId</w:t>
      </w:r>
      <w:r>
        <w:br/>
      </w:r>
      <w:r>
        <w:rPr>
          <w:rStyle w:val="VerbatimChar"/>
        </w:rPr>
        <w:t xml:space="preserve">    instrument_id: InstrumentId</w:t>
      </w:r>
      <w:r>
        <w:br/>
      </w:r>
      <w:r>
        <w:rPr>
          <w:rStyle w:val="VerbatimChar"/>
        </w:rPr>
        <w:t xml:space="preserve">    action: OrderAction</w:t>
      </w:r>
      <w:r>
        <w:br/>
      </w:r>
      <w:r>
        <w:rPr>
          <w:rStyle w:val="VerbatimChar"/>
        </w:rPr>
        <w:t xml:space="preserve">    quantity: Quantity</w:t>
      </w:r>
    </w:p>
    <w:p>
      <w:pPr>
        <w:pStyle w:val="FirstParagraph"/>
      </w:pPr>
      <w:r>
        <w:t xml:space="preserve">Commands represent requested state-changing operations.</w:t>
      </w:r>
    </w:p>
    <w:p>
      <w:pPr>
        <w:pStyle w:val="BodyText"/>
      </w:pPr>
      <w:r>
        <w:t xml:space="preserve">Queries represent read-oriented requests.</w:t>
      </w:r>
    </w:p>
    <w:p>
      <w:pPr>
        <w:pStyle w:val="BodyText"/>
      </w:pPr>
      <w:r>
        <w:t xml:space="preserve">Do not use one generic request model for unrelated workflows.</w:t>
      </w:r>
    </w:p>
    <w:p>
      <w:r>
        <w:pict>
          <v:rect style="width:0;height:1.5pt" o:hralign="center" o:hrstd="t" o:hr="t"/>
        </w:pict>
      </w:r>
    </w:p>
    <w:bookmarkEnd w:id="18"/>
    <w:bookmarkStart w:id="19" w:name="application-dtos"/>
    <w:p>
      <w:pPr>
        <w:pStyle w:val="Heading1"/>
      </w:pPr>
      <w:r>
        <w:t xml:space="preserve">Application DTOs</w:t>
      </w:r>
    </w:p>
    <w:p>
      <w:pPr>
        <w:pStyle w:val="FirstParagraph"/>
      </w:pPr>
      <w:r>
        <w:t xml:space="preserve">Application DTOs may transfer structured data across application boundaries.</w:t>
      </w:r>
    </w:p>
    <w:p>
      <w:pPr>
        <w:pStyle w:val="BodyText"/>
      </w:pPr>
      <w:r>
        <w:t xml:space="preserve">DTOs shall:</w:t>
      </w:r>
    </w:p>
    <w:p>
      <w:pPr>
        <w:pStyle w:val="Compact"/>
        <w:numPr>
          <w:ilvl w:val="0"/>
          <w:numId w:val="1011"/>
        </w:numPr>
      </w:pPr>
      <w:r>
        <w:t xml:space="preserve">use explicit fields</w:t>
      </w:r>
    </w:p>
    <w:p>
      <w:pPr>
        <w:pStyle w:val="Compact"/>
        <w:numPr>
          <w:ilvl w:val="0"/>
          <w:numId w:val="1011"/>
        </w:numPr>
      </w:pPr>
      <w:r>
        <w:t xml:space="preserve">be strongly typed</w:t>
      </w:r>
    </w:p>
    <w:p>
      <w:pPr>
        <w:pStyle w:val="Compact"/>
        <w:numPr>
          <w:ilvl w:val="0"/>
          <w:numId w:val="1011"/>
        </w:numPr>
      </w:pPr>
      <w:r>
        <w:t xml:space="preserve">remain free from provider-specific behaviour</w:t>
      </w:r>
    </w:p>
    <w:p>
      <w:pPr>
        <w:pStyle w:val="Compact"/>
        <w:numPr>
          <w:ilvl w:val="0"/>
          <w:numId w:val="1011"/>
        </w:numPr>
      </w:pPr>
      <w:r>
        <w:t xml:space="preserve">represent application requirements</w:t>
      </w:r>
    </w:p>
    <w:p>
      <w:pPr>
        <w:pStyle w:val="FirstParagraph"/>
      </w:pPr>
      <w:r>
        <w:t xml:space="preserve">DTOs are not automatically Domain Entities.</w:t>
      </w:r>
    </w:p>
    <w:p>
      <w:pPr>
        <w:pStyle w:val="BodyText"/>
      </w:pPr>
      <w:r>
        <w:t xml:space="preserve">Avoid adding Domain behaviour to transport-oriented DTOs.</w:t>
      </w:r>
    </w:p>
    <w:p>
      <w:r>
        <w:pict>
          <v:rect style="width:0;height:1.5pt" o:hralign="center" o:hrstd="t" o:hr="t"/>
        </w:pict>
      </w:r>
    </w:p>
    <w:bookmarkEnd w:id="19"/>
    <w:bookmarkStart w:id="20" w:name="provider-models"/>
    <w:p>
      <w:pPr>
        <w:pStyle w:val="Heading1"/>
      </w:pPr>
      <w:r>
        <w:t xml:space="preserve">Provider Models</w:t>
      </w:r>
    </w:p>
    <w:p>
      <w:pPr>
        <w:pStyle w:val="FirstParagraph"/>
      </w:pPr>
      <w:r>
        <w:t xml:space="preserve">Provider-specific models belong to Infrastructure.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IbContract</w:t>
      </w:r>
      <w:r>
        <w:br/>
      </w:r>
      <w:r>
        <w:rPr>
          <w:rStyle w:val="VerbatimChar"/>
        </w:rPr>
        <w:t xml:space="preserve">IbOrder</w:t>
      </w:r>
      <w:r>
        <w:br/>
      </w:r>
      <w:r>
        <w:rPr>
          <w:rStyle w:val="VerbatimChar"/>
        </w:rPr>
        <w:t xml:space="preserve">ProviderQuoteMessage</w:t>
      </w:r>
    </w:p>
    <w:p>
      <w:pPr>
        <w:pStyle w:val="FirstParagraph"/>
      </w:pPr>
      <w:r>
        <w:t xml:space="preserve">Provider models shall not cross into Domain APIs.</w:t>
      </w:r>
    </w:p>
    <w:p>
      <w:pPr>
        <w:pStyle w:val="BodyText"/>
      </w:pPr>
      <w:r>
        <w:t xml:space="preserve">Adapters shall translate provider models into application-oriented or domain-oriented types.</w:t>
      </w:r>
    </w:p>
    <w:p>
      <w:pPr>
        <w:pStyle w:val="BodyText"/>
      </w:pPr>
      <w:r>
        <w:t xml:space="preserve">Provider-specific field names shall remain inside provider integration boundaries where practical.</w:t>
      </w:r>
    </w:p>
    <w:p>
      <w:r>
        <w:pict>
          <v:rect style="width:0;height:1.5pt" o:hralign="center" o:hrstd="t" o:hr="t"/>
        </w:pict>
      </w:r>
    </w:p>
    <w:bookmarkEnd w:id="20"/>
    <w:bookmarkStart w:id="21" w:name="persistence-models"/>
    <w:p>
      <w:pPr>
        <w:pStyle w:val="Heading1"/>
      </w:pPr>
      <w:r>
        <w:t xml:space="preserve">Persistence Models</w:t>
      </w:r>
    </w:p>
    <w:p>
      <w:pPr>
        <w:pStyle w:val="FirstParagraph"/>
      </w:pPr>
      <w:r>
        <w:t xml:space="preserve">Persistence models belong to Infrastructure.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OrderRecord</w:t>
      </w:r>
      <w:r>
        <w:br/>
      </w:r>
      <w:r>
        <w:rPr>
          <w:rStyle w:val="VerbatimChar"/>
        </w:rPr>
        <w:t xml:space="preserve">PositionRecord</w:t>
      </w:r>
      <w:r>
        <w:br/>
      </w:r>
      <w:r>
        <w:rPr>
          <w:rStyle w:val="VerbatimChar"/>
        </w:rPr>
        <w:t xml:space="preserve">SqlAlchemyOrderModel</w:t>
      </w:r>
    </w:p>
    <w:p>
      <w:pPr>
        <w:pStyle w:val="FirstParagraph"/>
      </w:pPr>
      <w:r>
        <w:t xml:space="preserve">Persistence models shall not be used as Domain Entities.</w:t>
      </w:r>
    </w:p>
    <w:p>
      <w:pPr>
        <w:pStyle w:val="BodyText"/>
      </w:pPr>
      <w:r>
        <w:t xml:space="preserve">Repository interfaces shall not expose SQLAlchemy models.</w:t>
      </w:r>
    </w:p>
    <w:p>
      <w:pPr>
        <w:pStyle w:val="BodyText"/>
      </w:pPr>
      <w:r>
        <w:t xml:space="preserve">Translation between persistence and Domain models shall remain explicit.</w:t>
      </w:r>
    </w:p>
    <w:p>
      <w:r>
        <w:pict>
          <v:rect style="width:0;height:1.5pt" o:hralign="center" o:hrstd="t" o:hr="t"/>
        </w:pict>
      </w:r>
    </w:p>
    <w:bookmarkEnd w:id="21"/>
    <w:bookmarkStart w:id="22" w:name="naming"/>
    <w:p>
      <w:pPr>
        <w:pStyle w:val="Heading1"/>
      </w:pPr>
      <w:r>
        <w:t xml:space="preserve">Naming</w:t>
      </w:r>
    </w:p>
    <w:p>
      <w:pPr>
        <w:pStyle w:val="FirstParagraph"/>
      </w:pPr>
      <w:r>
        <w:t xml:space="preserve">Names shall communicate responsibility and business meaning.</w:t>
      </w:r>
    </w:p>
    <w:p>
      <w:pPr>
        <w:pStyle w:val="BodyText"/>
      </w:pPr>
      <w:r>
        <w:t xml:space="preserve">Avoid vague names.</w:t>
      </w:r>
    </w:p>
    <w:p>
      <w:r>
        <w:pict>
          <v:rect style="width:0;height:1.5pt" o:hralign="center" o:hrstd="t" o:hr="t"/>
        </w:pict>
      </w:r>
    </w:p>
    <w:bookmarkEnd w:id="22"/>
    <w:bookmarkStart w:id="23" w:name="modules"/>
    <w:p>
      <w:pPr>
        <w:pStyle w:val="Heading1"/>
      </w:pPr>
      <w:r>
        <w:t xml:space="preserve">Modules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snake_case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market_data_service.py</w:t>
      </w:r>
    </w:p>
    <w:p>
      <w:pPr>
        <w:pStyle w:val="FirstParagraph"/>
      </w:pPr>
      <w:r>
        <w:t xml:space="preserve">Module names shall describe the owned capability.</w:t>
      </w:r>
    </w:p>
    <w:p>
      <w:pPr>
        <w:pStyle w:val="BodyText"/>
      </w:pPr>
      <w:r>
        <w:t xml:space="preserve">Avoid generic modules such as:</w:t>
      </w:r>
    </w:p>
    <w:p>
      <w:pPr>
        <w:pStyle w:val="SourceCode"/>
      </w:pPr>
      <w:r>
        <w:rPr>
          <w:rStyle w:val="VerbatimChar"/>
        </w:rPr>
        <w:t xml:space="preserve">helpers.py</w:t>
      </w:r>
      <w:r>
        <w:br/>
      </w:r>
      <w:r>
        <w:rPr>
          <w:rStyle w:val="VerbatimChar"/>
        </w:rPr>
        <w:t xml:space="preserve">utils.py</w:t>
      </w:r>
      <w:r>
        <w:br/>
      </w:r>
      <w:r>
        <w:rPr>
          <w:rStyle w:val="VerbatimChar"/>
        </w:rPr>
        <w:t xml:space="preserve">common.py</w:t>
      </w:r>
    </w:p>
    <w:p>
      <w:pPr>
        <w:pStyle w:val="FirstParagraph"/>
      </w:pPr>
      <w:r>
        <w:t xml:space="preserve">when a more specific capability name is available.</w:t>
      </w:r>
    </w:p>
    <w:p>
      <w:r>
        <w:pict>
          <v:rect style="width:0;height:1.5pt" o:hralign="center" o:hrstd="t" o:hr="t"/>
        </w:pict>
      </w:r>
    </w:p>
    <w:bookmarkEnd w:id="23"/>
    <w:bookmarkStart w:id="24" w:name="classes"/>
    <w:p>
      <w:pPr>
        <w:pStyle w:val="Heading1"/>
      </w:pPr>
      <w:r>
        <w:t xml:space="preserve">Classes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PascalCase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OrderApplicationService</w:t>
      </w:r>
      <w:r>
        <w:br/>
      </w:r>
      <w:r>
        <w:rPr>
          <w:rStyle w:val="VerbatimChar"/>
        </w:rPr>
        <w:t xml:space="preserve">TradingCandidateService</w:t>
      </w:r>
      <w:r>
        <w:br/>
      </w:r>
      <w:r>
        <w:rPr>
          <w:rStyle w:val="VerbatimChar"/>
        </w:rPr>
        <w:t xml:space="preserve">InteractiveBrokersOrderAdapter</w:t>
      </w:r>
    </w:p>
    <w:p>
      <w:pPr>
        <w:pStyle w:val="FirstParagraph"/>
      </w:pPr>
      <w:r>
        <w:t xml:space="preserve">Avoid vague class names such as:</w:t>
      </w:r>
    </w:p>
    <w:p>
      <w:pPr>
        <w:pStyle w:val="SourceCode"/>
      </w:pPr>
      <w:r>
        <w:rPr>
          <w:rStyle w:val="VerbatimChar"/>
        </w:rPr>
        <w:t xml:space="preserve">Manager</w:t>
      </w:r>
      <w:r>
        <w:br/>
      </w: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Processor</w:t>
      </w:r>
      <w:r>
        <w:br/>
      </w:r>
      <w:r>
        <w:rPr>
          <w:rStyle w:val="VerbatimChar"/>
        </w:rPr>
        <w:t xml:space="preserve">Helper</w:t>
      </w:r>
    </w:p>
    <w:p>
      <w:pPr>
        <w:pStyle w:val="FirstParagraph"/>
      </w:pPr>
      <w:r>
        <w:t xml:space="preserve">unless the complete name communicates one specific responsibility.</w:t>
      </w:r>
    </w:p>
    <w:p>
      <w:r>
        <w:pict>
          <v:rect style="width:0;height:1.5pt" o:hralign="center" o:hrstd="t" o:hr="t"/>
        </w:pict>
      </w:r>
    </w:p>
    <w:bookmarkEnd w:id="24"/>
    <w:bookmarkStart w:id="25" w:name="functions-and-methods"/>
    <w:p>
      <w:pPr>
        <w:pStyle w:val="Heading1"/>
      </w:pPr>
      <w:r>
        <w:t xml:space="preserve">Functions and Methods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snake_case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calculate_position_size()</w:t>
      </w:r>
      <w:r>
        <w:br/>
      </w:r>
      <w:r>
        <w:rPr>
          <w:rStyle w:val="VerbatimChar"/>
        </w:rPr>
        <w:t xml:space="preserve">submit_order()</w:t>
      </w:r>
      <w:r>
        <w:br/>
      </w:r>
      <w:r>
        <w:rPr>
          <w:rStyle w:val="VerbatimChar"/>
        </w:rPr>
        <w:t xml:space="preserve">load_open_positions()</w:t>
      </w:r>
    </w:p>
    <w:p>
      <w:pPr>
        <w:pStyle w:val="FirstParagraph"/>
      </w:pPr>
      <w:r>
        <w:t xml:space="preserve">Function names shall describe one operation.</w:t>
      </w:r>
    </w:p>
    <w:p>
      <w:pPr>
        <w:pStyle w:val="BodyText"/>
      </w:pPr>
      <w:r>
        <w:t xml:space="preserve">Avoid generic names such as:</w:t>
      </w:r>
    </w:p>
    <w:p>
      <w:pPr>
        <w:pStyle w:val="SourceCode"/>
      </w:pPr>
      <w:r>
        <w:rPr>
          <w:rStyle w:val="VerbatimChar"/>
        </w:rPr>
        <w:t xml:space="preserve">process()</w:t>
      </w:r>
      <w:r>
        <w:br/>
      </w:r>
      <w:r>
        <w:rPr>
          <w:rStyle w:val="VerbatimChar"/>
        </w:rPr>
        <w:t xml:space="preserve">handle()</w:t>
      </w:r>
      <w:r>
        <w:br/>
      </w:r>
      <w:r>
        <w:rPr>
          <w:rStyle w:val="VerbatimChar"/>
        </w:rPr>
        <w:t xml:space="preserve">execute()</w:t>
      </w:r>
    </w:p>
    <w:p>
      <w:pPr>
        <w:pStyle w:val="FirstParagraph"/>
      </w:pPr>
      <w:r>
        <w:t xml:space="preserve">without capability context.</w:t>
      </w:r>
    </w:p>
    <w:p>
      <w:r>
        <w:pict>
          <v:rect style="width:0;height:1.5pt" o:hralign="center" o:hrstd="t" o:hr="t"/>
        </w:pict>
      </w:r>
    </w:p>
    <w:bookmarkEnd w:id="25"/>
    <w:bookmarkStart w:id="26" w:name="variables"/>
    <w:p>
      <w:pPr>
        <w:pStyle w:val="Heading1"/>
      </w:pPr>
      <w:r>
        <w:t xml:space="preserve">Variables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snake_case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market_price</w:t>
      </w:r>
    </w:p>
    <w:p>
      <w:pPr>
        <w:pStyle w:val="FirstParagraph"/>
      </w:pPr>
      <w:r>
        <w:t xml:space="preserve">Variable names shall communicate meaning.</w:t>
      </w:r>
    </w:p>
    <w:p>
      <w:pPr>
        <w:pStyle w:val="BodyText"/>
      </w:pPr>
      <w:r>
        <w:t xml:space="preserve">Avoid unnecessary abbreviations.</w:t>
      </w:r>
    </w:p>
    <w:p>
      <w:r>
        <w:pict>
          <v:rect style="width:0;height:1.5pt" o:hralign="center" o:hrstd="t" o:hr="t"/>
        </w:pict>
      </w:r>
    </w:p>
    <w:bookmarkEnd w:id="26"/>
    <w:bookmarkStart w:id="27" w:name="constants"/>
    <w:p>
      <w:pPr>
        <w:pStyle w:val="Heading1"/>
      </w:pPr>
      <w:r>
        <w:t xml:space="preserve">Constants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UPPER_CASE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DEFAULT_TIMEOUT</w:t>
      </w:r>
    </w:p>
    <w:p>
      <w:pPr>
        <w:pStyle w:val="FirstParagraph"/>
      </w:pPr>
      <w:r>
        <w:t xml:space="preserve">Business values shall not be hidden as unexplained constants in technical modules.</w:t>
      </w:r>
    </w:p>
    <w:p>
      <w:pPr>
        <w:pStyle w:val="BodyText"/>
      </w:pPr>
      <w:r>
        <w:t xml:space="preserve">Business-controlled parameters require explicit capability ownership.</w:t>
      </w:r>
    </w:p>
    <w:p>
      <w:r>
        <w:pict>
          <v:rect style="width:0;height:1.5pt" o:hralign="center" o:hrstd="t" o:hr="t"/>
        </w:pict>
      </w:r>
    </w:p>
    <w:bookmarkEnd w:id="27"/>
    <w:bookmarkStart w:id="28" w:name="functions"/>
    <w:p>
      <w:pPr>
        <w:pStyle w:val="Heading1"/>
      </w:pPr>
      <w:r>
        <w:t xml:space="preserve">Functions</w:t>
      </w:r>
    </w:p>
    <w:p>
      <w:pPr>
        <w:pStyle w:val="FirstParagraph"/>
      </w:pPr>
      <w:r>
        <w:t xml:space="preserve">Functions should:</w:t>
      </w:r>
    </w:p>
    <w:p>
      <w:pPr>
        <w:pStyle w:val="Compact"/>
        <w:numPr>
          <w:ilvl w:val="0"/>
          <w:numId w:val="1012"/>
        </w:numPr>
      </w:pPr>
      <w:r>
        <w:t xml:space="preserve">have one responsibility</w:t>
      </w:r>
    </w:p>
    <w:p>
      <w:pPr>
        <w:pStyle w:val="Compact"/>
        <w:numPr>
          <w:ilvl w:val="0"/>
          <w:numId w:val="1012"/>
        </w:numPr>
      </w:pPr>
      <w:r>
        <w:t xml:space="preserve">remain focused</w:t>
      </w:r>
    </w:p>
    <w:p>
      <w:pPr>
        <w:pStyle w:val="Compact"/>
        <w:numPr>
          <w:ilvl w:val="0"/>
          <w:numId w:val="1012"/>
        </w:numPr>
      </w:pPr>
      <w:r>
        <w:t xml:space="preserve">be easy to test</w:t>
      </w:r>
    </w:p>
    <w:p>
      <w:pPr>
        <w:pStyle w:val="Compact"/>
        <w:numPr>
          <w:ilvl w:val="0"/>
          <w:numId w:val="1012"/>
        </w:numPr>
      </w:pPr>
      <w:r>
        <w:t xml:space="preserve">make side effects explicit</w:t>
      </w:r>
    </w:p>
    <w:p>
      <w:pPr>
        <w:pStyle w:val="Compact"/>
        <w:numPr>
          <w:ilvl w:val="0"/>
          <w:numId w:val="1012"/>
        </w:numPr>
      </w:pPr>
      <w:r>
        <w:t xml:space="preserve">use meaningful return types</w:t>
      </w:r>
    </w:p>
    <w:p>
      <w:pPr>
        <w:pStyle w:val="FirstParagraph"/>
      </w:pPr>
      <w:r>
        <w:t xml:space="preserve">Avoid unnecessary side effects.</w:t>
      </w:r>
    </w:p>
    <w:p>
      <w:pPr>
        <w:pStyle w:val="BodyText"/>
      </w:pPr>
      <w:r>
        <w:t xml:space="preserve">A function that performs an external side effect shall communicate that responsibility through its owning workflow and name.</w:t>
      </w:r>
    </w:p>
    <w:p>
      <w:r>
        <w:pict>
          <v:rect style="width:0;height:1.5pt" o:hralign="center" o:hrstd="t" o:hr="t"/>
        </w:pict>
      </w:r>
    </w:p>
    <w:bookmarkEnd w:id="28"/>
    <w:bookmarkStart w:id="29" w:name="classes-1"/>
    <w:p>
      <w:pPr>
        <w:pStyle w:val="Heading1"/>
      </w:pPr>
      <w:r>
        <w:t xml:space="preserve">Classes</w:t>
      </w:r>
    </w:p>
    <w:p>
      <w:pPr>
        <w:pStyle w:val="FirstParagraph"/>
      </w:pPr>
      <w:r>
        <w:t xml:space="preserve">Classes should:</w:t>
      </w:r>
    </w:p>
    <w:p>
      <w:pPr>
        <w:pStyle w:val="Compact"/>
        <w:numPr>
          <w:ilvl w:val="0"/>
          <w:numId w:val="1013"/>
        </w:numPr>
      </w:pPr>
      <w:r>
        <w:t xml:space="preserve">represent one concept</w:t>
      </w:r>
    </w:p>
    <w:p>
      <w:pPr>
        <w:pStyle w:val="Compact"/>
        <w:numPr>
          <w:ilvl w:val="0"/>
          <w:numId w:val="1013"/>
        </w:numPr>
      </w:pPr>
      <w:r>
        <w:t xml:space="preserve">have a single responsibility</w:t>
      </w:r>
    </w:p>
    <w:p>
      <w:pPr>
        <w:pStyle w:val="Compact"/>
        <w:numPr>
          <w:ilvl w:val="0"/>
          <w:numId w:val="1013"/>
        </w:numPr>
      </w:pPr>
      <w:r>
        <w:t xml:space="preserve">expose a clear API</w:t>
      </w:r>
    </w:p>
    <w:p>
      <w:pPr>
        <w:pStyle w:val="Compact"/>
        <w:numPr>
          <w:ilvl w:val="0"/>
          <w:numId w:val="1013"/>
        </w:numPr>
      </w:pPr>
      <w:r>
        <w:t xml:space="preserve">hide implementation details</w:t>
      </w:r>
    </w:p>
    <w:p>
      <w:pPr>
        <w:pStyle w:val="Compact"/>
        <w:numPr>
          <w:ilvl w:val="0"/>
          <w:numId w:val="1013"/>
        </w:numPr>
      </w:pPr>
      <w:r>
        <w:t xml:space="preserve">preserve architecture ownership</w:t>
      </w:r>
    </w:p>
    <w:p>
      <w:pPr>
        <w:pStyle w:val="FirstParagraph"/>
      </w:pPr>
      <w:r>
        <w:t xml:space="preserve">Avoid large service classes containing unrelated workflows.</w:t>
      </w:r>
    </w:p>
    <w:p>
      <w:pPr>
        <w:pStyle w:val="BodyText"/>
      </w:pPr>
      <w:r>
        <w:t xml:space="preserve">Prefer capability-oriented classes.</w:t>
      </w:r>
    </w:p>
    <w:p>
      <w:r>
        <w:pict>
          <v:rect style="width:0;height:1.5pt" o:hralign="center" o:hrstd="t" o:hr="t"/>
        </w:pict>
      </w:r>
    </w:p>
    <w:bookmarkEnd w:id="29"/>
    <w:bookmarkStart w:id="30" w:name="imports"/>
    <w:p>
      <w:pPr>
        <w:pStyle w:val="Heading1"/>
      </w:pPr>
      <w:r>
        <w:t xml:space="preserve">Imports</w:t>
      </w:r>
    </w:p>
    <w:p>
      <w:pPr>
        <w:pStyle w:val="FirstParagraph"/>
      </w:pPr>
      <w:r>
        <w:t xml:space="preserve">Import order:</w:t>
      </w:r>
    </w:p>
    <w:p>
      <w:pPr>
        <w:pStyle w:val="Compact"/>
        <w:numPr>
          <w:ilvl w:val="0"/>
          <w:numId w:val="1014"/>
        </w:numPr>
      </w:pPr>
      <w:r>
        <w:t xml:space="preserve">Standard Library</w:t>
      </w:r>
    </w:p>
    <w:p>
      <w:pPr>
        <w:pStyle w:val="Compact"/>
        <w:numPr>
          <w:ilvl w:val="0"/>
          <w:numId w:val="1014"/>
        </w:numPr>
      </w:pPr>
      <w:r>
        <w:t xml:space="preserve">Third-party Libraries</w:t>
      </w:r>
    </w:p>
    <w:p>
      <w:pPr>
        <w:pStyle w:val="Compact"/>
        <w:numPr>
          <w:ilvl w:val="0"/>
          <w:numId w:val="1014"/>
        </w:numPr>
      </w:pPr>
      <w:r>
        <w:t xml:space="preserve">Project Imports</w:t>
      </w:r>
    </w:p>
    <w:p>
      <w:pPr>
        <w:pStyle w:val="FirstParagraph"/>
      </w:pPr>
      <w:r>
        <w:t xml:space="preserve">Avoid wildcard imports.</w:t>
      </w:r>
    </w:p>
    <w:p>
      <w:pPr>
        <w:pStyle w:val="BodyText"/>
      </w:pPr>
      <w:r>
        <w:t xml:space="preserve">Imports shall preserve architecture dependency direction.</w:t>
      </w:r>
    </w:p>
    <w:p>
      <w:pPr>
        <w:pStyle w:val="BodyText"/>
      </w:pPr>
      <w:r>
        <w:t xml:space="preserve">A technically valid Python import may still violate the documented architecture.</w:t>
      </w:r>
    </w:p>
    <w:p>
      <w:r>
        <w:pict>
          <v:rect style="width:0;height:1.5pt" o:hralign="center" o:hrstd="t" o:hr="t"/>
        </w:pict>
      </w:r>
    </w:p>
    <w:bookmarkEnd w:id="30"/>
    <w:bookmarkStart w:id="31" w:name="architecture-dependencies"/>
    <w:p>
      <w:pPr>
        <w:pStyle w:val="Heading1"/>
      </w:pPr>
      <w:r>
        <w:t xml:space="preserve">Architecture Dependencies</w:t>
      </w:r>
    </w:p>
    <w:p>
      <w:pPr>
        <w:pStyle w:val="FirstParagraph"/>
      </w:pPr>
      <w:r>
        <w:t xml:space="preserve">Always preserve the documented dependency direction.</w:t>
      </w:r>
    </w:p>
    <w:p>
      <w:pPr>
        <w:pStyle w:val="SourceCode"/>
      </w:pPr>
      <w:r>
        <w:rPr>
          <w:rStyle w:val="VerbatimChar"/>
        </w:rPr>
        <w:t xml:space="preserve">Presentation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Domain</w:t>
      </w:r>
      <w:r>
        <w:br/>
      </w:r>
      <w:r>
        <w:br/>
      </w:r>
      <w:r>
        <w:rPr>
          <w:rStyle w:val="VerbatimChar"/>
        </w:rPr>
        <w:t xml:space="preserve">Infrastructure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Application / Domain Ports</w:t>
      </w:r>
    </w:p>
    <w:p>
      <w:pPr>
        <w:pStyle w:val="FirstParagraph"/>
      </w:pPr>
      <w:r>
        <w:t xml:space="preserve">Domain shall remain independent from:</w:t>
      </w:r>
    </w:p>
    <w:p>
      <w:pPr>
        <w:pStyle w:val="Compact"/>
        <w:numPr>
          <w:ilvl w:val="0"/>
          <w:numId w:val="1015"/>
        </w:numPr>
      </w:pPr>
      <w:r>
        <w:t xml:space="preserve">Infrastructure</w:t>
      </w:r>
    </w:p>
    <w:p>
      <w:pPr>
        <w:pStyle w:val="Compact"/>
        <w:numPr>
          <w:ilvl w:val="0"/>
          <w:numId w:val="1015"/>
        </w:numPr>
      </w:pPr>
      <w:r>
        <w:t xml:space="preserve">Presentation</w:t>
      </w:r>
    </w:p>
    <w:p>
      <w:pPr>
        <w:pStyle w:val="Compact"/>
        <w:numPr>
          <w:ilvl w:val="0"/>
          <w:numId w:val="1015"/>
        </w:numPr>
      </w:pPr>
      <w:r>
        <w:t xml:space="preserve">frameworks</w:t>
      </w:r>
    </w:p>
    <w:p>
      <w:pPr>
        <w:pStyle w:val="Compact"/>
        <w:numPr>
          <w:ilvl w:val="0"/>
          <w:numId w:val="1015"/>
        </w:numPr>
      </w:pPr>
      <w:r>
        <w:t xml:space="preserve">external services</w:t>
      </w:r>
    </w:p>
    <w:p>
      <w:pPr>
        <w:pStyle w:val="FirstParagraph"/>
      </w:pPr>
      <w:r>
        <w:t xml:space="preserve">Application shall not depend on Presentation.</w:t>
      </w:r>
    </w:p>
    <w:p>
      <w:pPr>
        <w:pStyle w:val="BodyText"/>
      </w:pPr>
      <w:r>
        <w:t xml:space="preserve">Presentation shall not access concrete broker or market data adapters directly.</w:t>
      </w:r>
    </w:p>
    <w:p>
      <w:r>
        <w:pict>
          <v:rect style="width:0;height:1.5pt" o:hralign="center" o:hrstd="t" o:hr="t"/>
        </w:pict>
      </w:r>
    </w:p>
    <w:bookmarkEnd w:id="31"/>
    <w:bookmarkStart w:id="32" w:name="dependency-injection"/>
    <w:p>
      <w:pPr>
        <w:pStyle w:val="Heading1"/>
      </w:pPr>
      <w:r>
        <w:t xml:space="preserve">Dependency Injection</w:t>
      </w:r>
    </w:p>
    <w:p>
      <w:pPr>
        <w:pStyle w:val="FirstParagraph"/>
      </w:pPr>
      <w:r>
        <w:t xml:space="preserve">Dependencies shall be injected rather than created inside business logic.</w:t>
      </w:r>
    </w:p>
    <w:p>
      <w:pPr>
        <w:pStyle w:val="BodyText"/>
      </w:pPr>
      <w:r>
        <w:t xml:space="preserve">Avoid:</w:t>
      </w:r>
    </w:p>
    <w:p>
      <w:pPr>
        <w:pStyle w:val="Compact"/>
        <w:numPr>
          <w:ilvl w:val="0"/>
          <w:numId w:val="1016"/>
        </w:numPr>
      </w:pPr>
      <w:r>
        <w:t xml:space="preserve">global service instances</w:t>
      </w:r>
    </w:p>
    <w:p>
      <w:pPr>
        <w:pStyle w:val="Compact"/>
        <w:numPr>
          <w:ilvl w:val="0"/>
          <w:numId w:val="1016"/>
        </w:numPr>
      </w:pPr>
      <w:r>
        <w:t xml:space="preserve">hidden dependencies</w:t>
      </w:r>
    </w:p>
    <w:p>
      <w:pPr>
        <w:pStyle w:val="Compact"/>
        <w:numPr>
          <w:ilvl w:val="0"/>
          <w:numId w:val="1016"/>
        </w:numPr>
      </w:pPr>
      <w:r>
        <w:t xml:space="preserve">service locators inside Domain logic</w:t>
      </w:r>
    </w:p>
    <w:p>
      <w:pPr>
        <w:pStyle w:val="Compact"/>
        <w:numPr>
          <w:ilvl w:val="0"/>
          <w:numId w:val="1016"/>
        </w:numPr>
      </w:pPr>
      <w:r>
        <w:t xml:space="preserve">direct adapter construction inside Application workflows</w:t>
      </w:r>
    </w:p>
    <w:p>
      <w:pPr>
        <w:pStyle w:val="FirstParagraph"/>
      </w:pPr>
      <w:r>
        <w:t xml:space="preserve">Prefer constructor injection for stable dependencies.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class OrderApplicationService:</w:t>
      </w:r>
      <w:r>
        <w:br/>
      </w:r>
      <w:r>
        <w:rPr>
          <w:rStyle w:val="VerbatimChar"/>
        </w:rPr>
        <w:t xml:space="preserve">    def __init__(</w:t>
      </w:r>
      <w:r>
        <w:br/>
      </w:r>
      <w:r>
        <w:rPr>
          <w:rStyle w:val="VerbatimChar"/>
        </w:rPr>
        <w:t xml:space="preserve">        self,</w:t>
      </w:r>
      <w:r>
        <w:br/>
      </w:r>
      <w:r>
        <w:rPr>
          <w:rStyle w:val="VerbatimChar"/>
        </w:rPr>
        <w:t xml:space="preserve">        order_repository: OrderRepository,</w:t>
      </w:r>
      <w:r>
        <w:br/>
      </w:r>
      <w:r>
        <w:rPr>
          <w:rStyle w:val="VerbatimChar"/>
        </w:rPr>
        <w:t xml:space="preserve">        broker_order_port: BrokerOrderPort,</w:t>
      </w:r>
      <w:r>
        <w:br/>
      </w:r>
      <w:r>
        <w:rPr>
          <w:rStyle w:val="VerbatimChar"/>
        </w:rPr>
        <w:t xml:space="preserve">    ) -&gt; None:</w:t>
      </w:r>
      <w:r>
        <w:br/>
      </w:r>
      <w:r>
        <w:rPr>
          <w:rStyle w:val="VerbatimChar"/>
        </w:rPr>
        <w:t xml:space="preserve">        self._order_repository = order_repository</w:t>
      </w:r>
      <w:r>
        <w:br/>
      </w:r>
      <w:r>
        <w:rPr>
          <w:rStyle w:val="VerbatimChar"/>
        </w:rPr>
        <w:t xml:space="preserve">        self._broker_order_port = broker_order_port</w:t>
      </w:r>
    </w:p>
    <w:p>
      <w:pPr>
        <w:pStyle w:val="FirstParagraph"/>
      </w:pPr>
      <w:r>
        <w:t xml:space="preserve">Dependencies shall remain explicit.</w:t>
      </w:r>
    </w:p>
    <w:p>
      <w:r>
        <w:pict>
          <v:rect style="width:0;height:1.5pt" o:hralign="center" o:hrstd="t" o:hr="t"/>
        </w:pict>
      </w:r>
    </w:p>
    <w:bookmarkEnd w:id="32"/>
    <w:bookmarkStart w:id="33" w:name="domain-driven-design"/>
    <w:p>
      <w:pPr>
        <w:pStyle w:val="Heading1"/>
      </w:pPr>
      <w:r>
        <w:t xml:space="preserve">Domain-Driven Design</w:t>
      </w:r>
    </w:p>
    <w:p>
      <w:pPr>
        <w:pStyle w:val="FirstParagraph"/>
      </w:pPr>
      <w:r>
        <w:t xml:space="preserve">Business rules belong to Domain.</w:t>
      </w:r>
    </w:p>
    <w:p>
      <w:pPr>
        <w:pStyle w:val="BodyText"/>
      </w:pPr>
      <w:r>
        <w:t xml:space="preserve">Application coordinates use cases and workflows.</w:t>
      </w:r>
    </w:p>
    <w:p>
      <w:pPr>
        <w:pStyle w:val="BodyText"/>
      </w:pPr>
      <w:r>
        <w:t xml:space="preserve">Infrastructure provides technical implementations.</w:t>
      </w:r>
    </w:p>
    <w:p>
      <w:pPr>
        <w:pStyle w:val="BodyText"/>
      </w:pPr>
      <w:r>
        <w:t xml:space="preserve">Presentation contains no business logic.</w:t>
      </w:r>
    </w:p>
    <w:p>
      <w:pPr>
        <w:pStyle w:val="BodyText"/>
      </w:pPr>
      <w:r>
        <w:t xml:space="preserve">Do not place business rules in:</w:t>
      </w:r>
    </w:p>
    <w:p>
      <w:pPr>
        <w:pStyle w:val="Compact"/>
        <w:numPr>
          <w:ilvl w:val="0"/>
          <w:numId w:val="1017"/>
        </w:numPr>
      </w:pPr>
      <w:r>
        <w:t xml:space="preserve">widgets</w:t>
      </w:r>
    </w:p>
    <w:p>
      <w:pPr>
        <w:pStyle w:val="Compact"/>
        <w:numPr>
          <w:ilvl w:val="0"/>
          <w:numId w:val="1017"/>
        </w:numPr>
      </w:pPr>
      <w:r>
        <w:t xml:space="preserve">SQLAlchemy models</w:t>
      </w:r>
    </w:p>
    <w:p>
      <w:pPr>
        <w:pStyle w:val="Compact"/>
        <w:numPr>
          <w:ilvl w:val="0"/>
          <w:numId w:val="1017"/>
        </w:numPr>
      </w:pPr>
      <w:r>
        <w:t xml:space="preserve">broker adapters</w:t>
      </w:r>
    </w:p>
    <w:p>
      <w:pPr>
        <w:pStyle w:val="Compact"/>
        <w:numPr>
          <w:ilvl w:val="0"/>
          <w:numId w:val="1017"/>
        </w:numPr>
      </w:pPr>
      <w:r>
        <w:t xml:space="preserve">monitoring collectors</w:t>
      </w:r>
    </w:p>
    <w:p>
      <w:pPr>
        <w:pStyle w:val="Compact"/>
        <w:numPr>
          <w:ilvl w:val="0"/>
          <w:numId w:val="1017"/>
        </w:numPr>
      </w:pPr>
      <w:r>
        <w:t xml:space="preserve">logging handlers</w:t>
      </w:r>
    </w:p>
    <w:p>
      <w:r>
        <w:pict>
          <v:rect style="width:0;height:1.5pt" o:hralign="center" o:hrstd="t" o:hr="t"/>
        </w:pict>
      </w:r>
    </w:p>
    <w:bookmarkEnd w:id="33"/>
    <w:bookmarkStart w:id="34" w:name="state-transitions"/>
    <w:p>
      <w:pPr>
        <w:pStyle w:val="Heading1"/>
      </w:pPr>
      <w:r>
        <w:t xml:space="preserve">State Transitions</w:t>
      </w:r>
    </w:p>
    <w:p>
      <w:pPr>
        <w:pStyle w:val="FirstParagraph"/>
      </w:pPr>
      <w:r>
        <w:t xml:space="preserve">Business-critical state transitions shall be explicit and deterministic.</w:t>
      </w:r>
    </w:p>
    <w:p>
      <w:pPr>
        <w:pStyle w:val="BodyText"/>
      </w:pPr>
      <w:r>
        <w:t xml:space="preserve">Prefer:</w:t>
      </w:r>
    </w:p>
    <w:p>
      <w:pPr>
        <w:pStyle w:val="SourceCode"/>
      </w:pPr>
      <w:r>
        <w:rPr>
          <w:rStyle w:val="VerbatimChar"/>
        </w:rPr>
        <w:t xml:space="preserve">order.acknowledge()</w:t>
      </w:r>
    </w:p>
    <w:p>
      <w:pPr>
        <w:pStyle w:val="FirstParagraph"/>
      </w:pPr>
      <w:r>
        <w:t xml:space="preserve">over:</w:t>
      </w:r>
    </w:p>
    <w:p>
      <w:pPr>
        <w:pStyle w:val="SourceCode"/>
      </w:pPr>
      <w:r>
        <w:rPr>
          <w:rStyle w:val="VerbatimChar"/>
        </w:rPr>
        <w:t xml:space="preserve">order.status = "acknowledged"</w:t>
      </w:r>
    </w:p>
    <w:p>
      <w:pPr>
        <w:pStyle w:val="FirstParagraph"/>
      </w:pPr>
      <w:r>
        <w:t xml:space="preserve">where Domain behaviour owns the transition.</w:t>
      </w:r>
    </w:p>
    <w:p>
      <w:pPr>
        <w:pStyle w:val="BodyText"/>
      </w:pPr>
      <w:r>
        <w:t xml:space="preserve">State transition methods shall:</w:t>
      </w:r>
    </w:p>
    <w:p>
      <w:pPr>
        <w:pStyle w:val="Compact"/>
        <w:numPr>
          <w:ilvl w:val="0"/>
          <w:numId w:val="1018"/>
        </w:numPr>
      </w:pPr>
      <w:r>
        <w:t xml:space="preserve">validate current state</w:t>
      </w:r>
    </w:p>
    <w:p>
      <w:pPr>
        <w:pStyle w:val="Compact"/>
        <w:numPr>
          <w:ilvl w:val="0"/>
          <w:numId w:val="1018"/>
        </w:numPr>
      </w:pPr>
      <w:r>
        <w:t xml:space="preserve">reject invalid transitions</w:t>
      </w:r>
    </w:p>
    <w:p>
      <w:pPr>
        <w:pStyle w:val="Compact"/>
        <w:numPr>
          <w:ilvl w:val="0"/>
          <w:numId w:val="1018"/>
        </w:numPr>
      </w:pPr>
      <w:r>
        <w:t xml:space="preserve">preserve invariants</w:t>
      </w:r>
    </w:p>
    <w:p>
      <w:pPr>
        <w:pStyle w:val="Compact"/>
        <w:numPr>
          <w:ilvl w:val="0"/>
          <w:numId w:val="1018"/>
        </w:numPr>
      </w:pPr>
      <w:r>
        <w:t xml:space="preserve">produce deterministic resulting state</w:t>
      </w:r>
    </w:p>
    <w:p>
      <w:pPr>
        <w:pStyle w:val="FirstParagraph"/>
      </w:pPr>
      <w:r>
        <w:t xml:space="preserve">Avoid unrestricted public mutation of business-critical state.</w:t>
      </w:r>
    </w:p>
    <w:p>
      <w:r>
        <w:pict>
          <v:rect style="width:0;height:1.5pt" o:hralign="center" o:hrstd="t" o:hr="t"/>
        </w:pict>
      </w:r>
    </w:p>
    <w:bookmarkEnd w:id="34"/>
    <w:bookmarkStart w:id="35" w:name="state-representation"/>
    <w:p>
      <w:pPr>
        <w:pStyle w:val="Heading1"/>
      </w:pPr>
      <w:r>
        <w:t xml:space="preserve">State Representation</w:t>
      </w:r>
    </w:p>
    <w:p>
      <w:pPr>
        <w:pStyle w:val="FirstParagraph"/>
      </w:pPr>
      <w:r>
        <w:t xml:space="preserve">Use explicit state types.</w:t>
      </w:r>
    </w:p>
    <w:p>
      <w:pPr>
        <w:pStyle w:val="BodyText"/>
      </w:pPr>
      <w:r>
        <w:t xml:space="preserve">Prefer:</w:t>
      </w:r>
    </w:p>
    <w:p>
      <w:pPr>
        <w:pStyle w:val="SourceCode"/>
      </w:pPr>
      <w:r>
        <w:rPr>
          <w:rStyle w:val="VerbatimChar"/>
        </w:rPr>
        <w:t xml:space="preserve">OrderStatus.ACKNOWLEDGED</w:t>
      </w:r>
    </w:p>
    <w:p>
      <w:pPr>
        <w:pStyle w:val="FirstParagraph"/>
      </w:pPr>
      <w:r>
        <w:t xml:space="preserve">Avoid:</w:t>
      </w:r>
    </w:p>
    <w:p>
      <w:pPr>
        <w:pStyle w:val="SourceCode"/>
      </w:pPr>
      <w:r>
        <w:rPr>
          <w:rStyle w:val="VerbatimChar"/>
        </w:rPr>
        <w:t xml:space="preserve">"ack"</w:t>
      </w:r>
      <w:r>
        <w:br/>
      </w:r>
      <w:r>
        <w:rPr>
          <w:rStyle w:val="VerbatimChar"/>
        </w:rPr>
        <w:t xml:space="preserve">"ok"</w:t>
      </w:r>
      <w:r>
        <w:br/>
      </w:r>
      <w:r>
        <w:rPr>
          <w:rStyle w:val="VerbatimChar"/>
        </w:rPr>
        <w:t xml:space="preserve">"done"</w:t>
      </w:r>
    </w:p>
    <w:p>
      <w:pPr>
        <w:pStyle w:val="FirstParagraph"/>
      </w:pPr>
      <w:r>
        <w:t xml:space="preserve">String-based state shall not be used where a stable state model exists.</w:t>
      </w:r>
    </w:p>
    <w:p>
      <w:r>
        <w:pict>
          <v:rect style="width:0;height:1.5pt" o:hralign="center" o:hrstd="t" o:hr="t"/>
        </w:pict>
      </w:r>
    </w:p>
    <w:bookmarkEnd w:id="35"/>
    <w:bookmarkStart w:id="36" w:name="financial-values"/>
    <w:p>
      <w:pPr>
        <w:pStyle w:val="Heading1"/>
      </w:pPr>
      <w:r>
        <w:t xml:space="preserve">Financial Values</w:t>
      </w:r>
    </w:p>
    <w:p>
      <w:pPr>
        <w:pStyle w:val="FirstParagraph"/>
      </w:pPr>
      <w:r>
        <w:t xml:space="preserve">Financial values require explicit semantics.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Decimal</w:t>
      </w:r>
      <w:r>
        <w:t xml:space="preserve"> </w:t>
      </w:r>
      <w:r>
        <w:t xml:space="preserve">where decimal financial precision is required.</w:t>
      </w:r>
    </w:p>
    <w:p>
      <w:pPr>
        <w:pStyle w:val="BodyText"/>
      </w:pPr>
      <w:r>
        <w:t xml:space="preserve">Avoid uncontrolled binary floating-point arithmetic for:</w:t>
      </w:r>
    </w:p>
    <w:p>
      <w:pPr>
        <w:pStyle w:val="Compact"/>
        <w:numPr>
          <w:ilvl w:val="0"/>
          <w:numId w:val="1019"/>
        </w:numPr>
      </w:pPr>
      <w:r>
        <w:t xml:space="preserve">money</w:t>
      </w:r>
    </w:p>
    <w:p>
      <w:pPr>
        <w:pStyle w:val="Compact"/>
        <w:numPr>
          <w:ilvl w:val="0"/>
          <w:numId w:val="1019"/>
        </w:numPr>
      </w:pPr>
      <w:r>
        <w:t xml:space="preserve">prices</w:t>
      </w:r>
    </w:p>
    <w:p>
      <w:pPr>
        <w:pStyle w:val="Compact"/>
        <w:numPr>
          <w:ilvl w:val="0"/>
          <w:numId w:val="1019"/>
        </w:numPr>
      </w:pPr>
      <w:r>
        <w:t xml:space="preserve">fees</w:t>
      </w:r>
    </w:p>
    <w:p>
      <w:pPr>
        <w:pStyle w:val="Compact"/>
        <w:numPr>
          <w:ilvl w:val="0"/>
          <w:numId w:val="1019"/>
        </w:numPr>
      </w:pPr>
      <w:r>
        <w:t xml:space="preserve">persisted financial values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price = Decimal("123.45")</w:t>
      </w:r>
    </w:p>
    <w:p>
      <w:pPr>
        <w:pStyle w:val="FirstParagraph"/>
      </w:pPr>
      <w:r>
        <w:t xml:space="preserve">Do not construct financial</w:t>
      </w:r>
      <w:r>
        <w:t xml:space="preserve"> </w:t>
      </w:r>
      <w:r>
        <w:rPr>
          <w:rStyle w:val="VerbatimChar"/>
        </w:rPr>
        <w:t xml:space="preserve">Decimal</w:t>
      </w:r>
      <w:r>
        <w:t xml:space="preserve"> </w:t>
      </w:r>
      <w:r>
        <w:t xml:space="preserve">values from uncontrolled binary floats.</w:t>
      </w:r>
    </w:p>
    <w:p>
      <w:pPr>
        <w:pStyle w:val="BodyText"/>
      </w:pPr>
      <w:r>
        <w:t xml:space="preserve">Avoid:</w:t>
      </w:r>
    </w:p>
    <w:p>
      <w:pPr>
        <w:pStyle w:val="SourceCode"/>
      </w:pPr>
      <w:r>
        <w:rPr>
          <w:rStyle w:val="VerbatimChar"/>
        </w:rPr>
        <w:t xml:space="preserve">Decimal(123.45)</w:t>
      </w:r>
    </w:p>
    <w:p>
      <w:pPr>
        <w:pStyle w:val="FirstParagraph"/>
      </w:pPr>
      <w:r>
        <w:t xml:space="preserve">Prefer:</w:t>
      </w:r>
    </w:p>
    <w:p>
      <w:pPr>
        <w:pStyle w:val="SourceCode"/>
      </w:pPr>
      <w:r>
        <w:rPr>
          <w:rStyle w:val="VerbatimChar"/>
        </w:rPr>
        <w:t xml:space="preserve">Decimal("123.45")</w:t>
      </w:r>
    </w:p>
    <w:p>
      <w:pPr>
        <w:pStyle w:val="FirstParagraph"/>
      </w:pPr>
      <w:r>
        <w:t xml:space="preserve">or an explicitly normalized provider conversion.</w:t>
      </w:r>
    </w:p>
    <w:p>
      <w:r>
        <w:pict>
          <v:rect style="width:0;height:1.5pt" o:hralign="center" o:hrstd="t" o:hr="t"/>
        </w:pict>
      </w:r>
    </w:p>
    <w:bookmarkEnd w:id="36"/>
    <w:bookmarkStart w:id="37" w:name="unavailable-financial-data"/>
    <w:p>
      <w:pPr>
        <w:pStyle w:val="Heading1"/>
      </w:pPr>
      <w:r>
        <w:t xml:space="preserve">Unavailable Financial Data</w:t>
      </w:r>
    </w:p>
    <w:p>
      <w:pPr>
        <w:pStyle w:val="FirstParagraph"/>
      </w:pPr>
      <w:r>
        <w:t xml:space="preserve">Unavailable financial data shall remain explicit.</w:t>
      </w:r>
    </w:p>
    <w:p>
      <w:pPr>
        <w:pStyle w:val="BodyText"/>
      </w:pPr>
      <w:r>
        <w:t xml:space="preserve">Do not convert missing values silently to:</w:t>
      </w:r>
    </w:p>
    <w:p>
      <w:pPr>
        <w:pStyle w:val="SourceCode"/>
      </w:pPr>
      <w:r>
        <w:rPr>
          <w:rStyle w:val="VerbatimChar"/>
        </w:rPr>
        <w:t xml:space="preserve">0</w:t>
      </w:r>
      <w:r>
        <w:br/>
      </w:r>
      <w:r>
        <w:rPr>
          <w:rStyle w:val="VerbatimChar"/>
        </w:rPr>
        <w:t xml:space="preserve">0.0</w:t>
      </w:r>
      <w:r>
        <w:br/>
      </w:r>
      <w:r>
        <w:rPr>
          <w:rStyle w:val="VerbatimChar"/>
        </w:rPr>
        <w:t xml:space="preserve">Decimal("0")</w:t>
      </w:r>
    </w:p>
    <w:p>
      <w:pPr>
        <w:pStyle w:val="FirstParagraph"/>
      </w:pPr>
      <w:r>
        <w:t xml:space="preserve">when zero has valid business meaning.</w:t>
      </w:r>
    </w:p>
    <w:p>
      <w:pPr>
        <w:pStyle w:val="BodyText"/>
      </w:pPr>
      <w:r>
        <w:t xml:space="preserve">Prefer:</w:t>
      </w:r>
    </w:p>
    <w:p>
      <w:pPr>
        <w:pStyle w:val="SourceCode"/>
      </w:pPr>
      <w:r>
        <w:rPr>
          <w:rStyle w:val="VerbatimChar"/>
        </w:rPr>
        <w:t xml:space="preserve">Price | None</w:t>
      </w:r>
    </w:p>
    <w:p>
      <w:pPr>
        <w:pStyle w:val="FirstParagraph"/>
      </w:pPr>
      <w:r>
        <w:t xml:space="preserve">or an explicit availability-aware result type.</w:t>
      </w:r>
    </w:p>
    <w:p>
      <w:pPr>
        <w:pStyle w:val="BodyText"/>
      </w:pPr>
      <w:r>
        <w:t xml:space="preserve">Missing data and zero are different business states.</w:t>
      </w:r>
    </w:p>
    <w:p>
      <w:r>
        <w:pict>
          <v:rect style="width:0;height:1.5pt" o:hralign="center" o:hrstd="t" o:hr="t"/>
        </w:pict>
      </w:r>
    </w:p>
    <w:bookmarkEnd w:id="37"/>
    <w:bookmarkStart w:id="38" w:name="quantities"/>
    <w:p>
      <w:pPr>
        <w:pStyle w:val="Heading1"/>
      </w:pPr>
      <w:r>
        <w:t xml:space="preserve">Quantities</w:t>
      </w:r>
    </w:p>
    <w:p>
      <w:pPr>
        <w:pStyle w:val="FirstParagraph"/>
      </w:pPr>
      <w:r>
        <w:t xml:space="preserve">Quantities shall use explicit types where business meaning requires them.</w:t>
      </w:r>
    </w:p>
    <w:p>
      <w:pPr>
        <w:pStyle w:val="BodyText"/>
      </w:pPr>
      <w:r>
        <w:t xml:space="preserve">Do not assume all trading quantities are integers unless the instrument or workflow guarantees integer quantity.</w:t>
      </w:r>
    </w:p>
    <w:p>
      <w:pPr>
        <w:pStyle w:val="BodyText"/>
      </w:pPr>
      <w:r>
        <w:t xml:space="preserve">Quantity validation belongs to the owning Domain or Application capability.</w:t>
      </w:r>
    </w:p>
    <w:p>
      <w:pPr>
        <w:pStyle w:val="BodyText"/>
      </w:pPr>
      <w:r>
        <w:t xml:space="preserve">Provider quantity formats shall be translated at the adapter boundary.</w:t>
      </w:r>
    </w:p>
    <w:p>
      <w:r>
        <w:pict>
          <v:rect style="width:0;height:1.5pt" o:hralign="center" o:hrstd="t" o:hr="t"/>
        </w:pict>
      </w:r>
    </w:p>
    <w:bookmarkEnd w:id="38"/>
    <w:bookmarkStart w:id="39" w:name="timestamps"/>
    <w:p>
      <w:pPr>
        <w:pStyle w:val="Heading1"/>
      </w:pPr>
      <w:r>
        <w:t xml:space="preserve">Timestamps</w:t>
      </w:r>
    </w:p>
    <w:p>
      <w:pPr>
        <w:pStyle w:val="FirstParagraph"/>
      </w:pPr>
      <w:r>
        <w:t xml:space="preserve">Time-dependent code shall preserve timestamp semantics.</w:t>
      </w:r>
    </w:p>
    <w:p>
      <w:pPr>
        <w:pStyle w:val="BodyText"/>
      </w:pPr>
      <w:r>
        <w:t xml:space="preserve">Where relevant distinguish:</w:t>
      </w:r>
    </w:p>
    <w:p>
      <w:pPr>
        <w:pStyle w:val="Compact"/>
        <w:numPr>
          <w:ilvl w:val="0"/>
          <w:numId w:val="1020"/>
        </w:numPr>
      </w:pPr>
      <w:r>
        <w:t xml:space="preserve">application timestamp</w:t>
      </w:r>
    </w:p>
    <w:p>
      <w:pPr>
        <w:pStyle w:val="Compact"/>
        <w:numPr>
          <w:ilvl w:val="0"/>
          <w:numId w:val="1020"/>
        </w:numPr>
      </w:pPr>
      <w:r>
        <w:t xml:space="preserve">broker timestamp</w:t>
      </w:r>
    </w:p>
    <w:p>
      <w:pPr>
        <w:pStyle w:val="Compact"/>
        <w:numPr>
          <w:ilvl w:val="0"/>
          <w:numId w:val="1020"/>
        </w:numPr>
      </w:pPr>
      <w:r>
        <w:t xml:space="preserve">market data source timestamp</w:t>
      </w:r>
    </w:p>
    <w:p>
      <w:pPr>
        <w:pStyle w:val="FirstParagraph"/>
      </w:pPr>
      <w:r>
        <w:t xml:space="preserve">Timezone context shall remain explicit.</w:t>
      </w:r>
    </w:p>
    <w:p>
      <w:pPr>
        <w:pStyle w:val="BodyText"/>
      </w:pPr>
      <w:r>
        <w:t xml:space="preserve">Avoid ambiguous naive datetimes in trading-critical interfaces.</w:t>
      </w:r>
    </w:p>
    <w:p>
      <w:pPr>
        <w:pStyle w:val="BodyText"/>
      </w:pPr>
      <w:r>
        <w:t xml:space="preserve">Use timezone-aware datetime values where cross-system time semantics matter.</w:t>
      </w:r>
    </w:p>
    <w:p>
      <w:r>
        <w:pict>
          <v:rect style="width:0;height:1.5pt" o:hralign="center" o:hrstd="t" o:hr="t"/>
        </w:pict>
      </w:r>
    </w:p>
    <w:bookmarkEnd w:id="39"/>
    <w:bookmarkStart w:id="40" w:name="async-programming"/>
    <w:p>
      <w:pPr>
        <w:pStyle w:val="Heading1"/>
      </w:pPr>
      <w:r>
        <w:t xml:space="preserve">Async Programming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async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await</w:t>
      </w:r>
      <w:r>
        <w:t xml:space="preserve"> </w:t>
      </w:r>
      <w:r>
        <w:t xml:space="preserve">consistently.</w:t>
      </w:r>
    </w:p>
    <w:p>
      <w:pPr>
        <w:pStyle w:val="BodyText"/>
      </w:pPr>
      <w:r>
        <w:t xml:space="preserve">Async code shall:</w:t>
      </w:r>
    </w:p>
    <w:p>
      <w:pPr>
        <w:pStyle w:val="Compact"/>
        <w:numPr>
          <w:ilvl w:val="0"/>
          <w:numId w:val="1021"/>
        </w:numPr>
      </w:pPr>
      <w:r>
        <w:t xml:space="preserve">never block the event loop</w:t>
      </w:r>
    </w:p>
    <w:p>
      <w:pPr>
        <w:pStyle w:val="Compact"/>
        <w:numPr>
          <w:ilvl w:val="0"/>
          <w:numId w:val="1021"/>
        </w:numPr>
      </w:pPr>
      <w:r>
        <w:t xml:space="preserve">avoid nested event loops</w:t>
      </w:r>
    </w:p>
    <w:p>
      <w:pPr>
        <w:pStyle w:val="Compact"/>
        <w:numPr>
          <w:ilvl w:val="0"/>
          <w:numId w:val="1021"/>
        </w:numPr>
      </w:pPr>
      <w:r>
        <w:t xml:space="preserve">use explicit timeouts where appropriate</w:t>
      </w:r>
    </w:p>
    <w:p>
      <w:pPr>
        <w:pStyle w:val="Compact"/>
        <w:numPr>
          <w:ilvl w:val="0"/>
          <w:numId w:val="1021"/>
        </w:numPr>
      </w:pPr>
      <w:r>
        <w:t xml:space="preserve">support controlled cancellation</w:t>
      </w:r>
    </w:p>
    <w:p>
      <w:pPr>
        <w:pStyle w:val="Compact"/>
        <w:numPr>
          <w:ilvl w:val="0"/>
          <w:numId w:val="1021"/>
        </w:numPr>
      </w:pPr>
      <w:r>
        <w:t xml:space="preserve">preserve exception context</w:t>
      </w:r>
    </w:p>
    <w:p>
      <w:pPr>
        <w:pStyle w:val="Compact"/>
        <w:numPr>
          <w:ilvl w:val="0"/>
          <w:numId w:val="1021"/>
        </w:numPr>
      </w:pPr>
      <w:r>
        <w:t xml:space="preserve">release owned resources</w:t>
      </w:r>
    </w:p>
    <w:p>
      <w:pPr>
        <w:pStyle w:val="Compact"/>
        <w:numPr>
          <w:ilvl w:val="0"/>
          <w:numId w:val="1021"/>
        </w:numPr>
      </w:pPr>
      <w:r>
        <w:t xml:space="preserve">remain focused</w:t>
      </w:r>
    </w:p>
    <w:p>
      <w:pPr>
        <w:pStyle w:val="FirstParagraph"/>
      </w:pPr>
      <w:r>
        <w:t xml:space="preserve">Do not mark functions async without an asynchronous boundary.</w:t>
      </w:r>
    </w:p>
    <w:p>
      <w:r>
        <w:pict>
          <v:rect style="width:0;height:1.5pt" o:hralign="center" o:hrstd="t" o:hr="t"/>
        </w:pict>
      </w:r>
    </w:p>
    <w:bookmarkEnd w:id="40"/>
    <w:bookmarkStart w:id="41" w:name="blocking-operations"/>
    <w:p>
      <w:pPr>
        <w:pStyle w:val="Heading1"/>
      </w:pPr>
      <w:r>
        <w:t xml:space="preserve">Blocking Operations</w:t>
      </w:r>
    </w:p>
    <w:p>
      <w:pPr>
        <w:pStyle w:val="FirstParagraph"/>
      </w:pPr>
      <w:r>
        <w:t xml:space="preserve">Blocking operations shall not execute directly on the AsyncIO event loop.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2"/>
        </w:numPr>
      </w:pPr>
      <w:r>
        <w:t xml:space="preserve">blocking file operations</w:t>
      </w:r>
    </w:p>
    <w:p>
      <w:pPr>
        <w:pStyle w:val="Compact"/>
        <w:numPr>
          <w:ilvl w:val="0"/>
          <w:numId w:val="1022"/>
        </w:numPr>
      </w:pPr>
      <w:r>
        <w:t xml:space="preserve">long CPU-bound calculations</w:t>
      </w:r>
    </w:p>
    <w:p>
      <w:pPr>
        <w:pStyle w:val="Compact"/>
        <w:numPr>
          <w:ilvl w:val="0"/>
          <w:numId w:val="1022"/>
        </w:numPr>
      </w:pPr>
      <w:r>
        <w:t xml:space="preserve">blocking third-party APIs</w:t>
      </w:r>
    </w:p>
    <w:p>
      <w:pPr>
        <w:pStyle w:val="Compact"/>
        <w:numPr>
          <w:ilvl w:val="0"/>
          <w:numId w:val="1022"/>
        </w:numPr>
      </w:pPr>
      <w:r>
        <w:t xml:space="preserve">synchronous waits</w:t>
      </w:r>
    </w:p>
    <w:p>
      <w:pPr>
        <w:pStyle w:val="FirstParagraph"/>
      </w:pPr>
      <w:r>
        <w:t xml:space="preserve">Blocking work shall be isolated through an approved execution mechanism.</w:t>
      </w:r>
    </w:p>
    <w:p>
      <w:pPr>
        <w:pStyle w:val="BodyText"/>
      </w:pPr>
      <w:r>
        <w:t xml:space="preserve">The UI thread shall also remain free from long-running blocking operations.</w:t>
      </w:r>
    </w:p>
    <w:p>
      <w:r>
        <w:pict>
          <v:rect style="width:0;height:1.5pt" o:hralign="center" o:hrstd="t" o:hr="t"/>
        </w:pict>
      </w:r>
    </w:p>
    <w:bookmarkEnd w:id="41"/>
    <w:bookmarkStart w:id="42" w:name="task-ownership"/>
    <w:p>
      <w:pPr>
        <w:pStyle w:val="Heading1"/>
      </w:pPr>
      <w:r>
        <w:t xml:space="preserve">Task Ownership</w:t>
      </w:r>
    </w:p>
    <w:p>
      <w:pPr>
        <w:pStyle w:val="FirstParagraph"/>
      </w:pPr>
      <w:r>
        <w:t xml:space="preserve">Long-running asynchronous tasks require explicit ownership.</w:t>
      </w:r>
    </w:p>
    <w:p>
      <w:pPr>
        <w:pStyle w:val="BodyText"/>
      </w:pPr>
      <w:r>
        <w:t xml:space="preserve">Avoid unmanaged:</w:t>
      </w:r>
    </w:p>
    <w:p>
      <w:pPr>
        <w:pStyle w:val="SourceCode"/>
      </w:pPr>
      <w:r>
        <w:rPr>
          <w:rStyle w:val="VerbatimChar"/>
        </w:rPr>
        <w:t xml:space="preserve">asyncio.create_task(...)</w:t>
      </w:r>
    </w:p>
    <w:p>
      <w:pPr>
        <w:pStyle w:val="FirstParagraph"/>
      </w:pPr>
      <w:r>
        <w:t xml:space="preserve">for application background services.</w:t>
      </w:r>
    </w:p>
    <w:p>
      <w:pPr>
        <w:pStyle w:val="BodyText"/>
      </w:pPr>
      <w:r>
        <w:t xml:space="preserve">A long-running task shall have:</w:t>
      </w:r>
    </w:p>
    <w:p>
      <w:pPr>
        <w:pStyle w:val="Compact"/>
        <w:numPr>
          <w:ilvl w:val="0"/>
          <w:numId w:val="1023"/>
        </w:numPr>
      </w:pPr>
      <w:r>
        <w:t xml:space="preserve">owner</w:t>
      </w:r>
    </w:p>
    <w:p>
      <w:pPr>
        <w:pStyle w:val="Compact"/>
        <w:numPr>
          <w:ilvl w:val="0"/>
          <w:numId w:val="1023"/>
        </w:numPr>
      </w:pPr>
      <w:r>
        <w:t xml:space="preserve">identity</w:t>
      </w:r>
    </w:p>
    <w:p>
      <w:pPr>
        <w:pStyle w:val="Compact"/>
        <w:numPr>
          <w:ilvl w:val="0"/>
          <w:numId w:val="1023"/>
        </w:numPr>
      </w:pPr>
      <w:r>
        <w:t xml:space="preserve">startup behaviour</w:t>
      </w:r>
    </w:p>
    <w:p>
      <w:pPr>
        <w:pStyle w:val="Compact"/>
        <w:numPr>
          <w:ilvl w:val="0"/>
          <w:numId w:val="1023"/>
        </w:numPr>
      </w:pPr>
      <w:r>
        <w:t xml:space="preserve">cancellation behaviour</w:t>
      </w:r>
    </w:p>
    <w:p>
      <w:pPr>
        <w:pStyle w:val="Compact"/>
        <w:numPr>
          <w:ilvl w:val="0"/>
          <w:numId w:val="1023"/>
        </w:numPr>
      </w:pPr>
      <w:r>
        <w:t xml:space="preserve">failure handling</w:t>
      </w:r>
    </w:p>
    <w:p>
      <w:pPr>
        <w:pStyle w:val="Compact"/>
        <w:numPr>
          <w:ilvl w:val="0"/>
          <w:numId w:val="1023"/>
        </w:numPr>
      </w:pPr>
      <w:r>
        <w:t xml:space="preserve">shutdown behaviour</w:t>
      </w:r>
    </w:p>
    <w:p>
      <w:pPr>
        <w:pStyle w:val="FirstParagraph"/>
      </w:pPr>
      <w:r>
        <w:t xml:space="preserve">Tasks shall be registered with the appropriate runtime lifecycle component.</w:t>
      </w:r>
    </w:p>
    <w:p>
      <w:r>
        <w:pict>
          <v:rect style="width:0;height:1.5pt" o:hralign="center" o:hrstd="t" o:hr="t"/>
        </w:pict>
      </w:r>
    </w:p>
    <w:bookmarkEnd w:id="42"/>
    <w:bookmarkStart w:id="43" w:name="cancellation"/>
    <w:p>
      <w:pPr>
        <w:pStyle w:val="Heading1"/>
      </w:pPr>
      <w:r>
        <w:t xml:space="preserve">Cancellation</w:t>
      </w:r>
    </w:p>
    <w:p>
      <w:pPr>
        <w:pStyle w:val="FirstParagraph"/>
      </w:pPr>
      <w:r>
        <w:t xml:space="preserve">Cancellation is part of normal async control.</w:t>
      </w:r>
    </w:p>
    <w:p>
      <w:pPr>
        <w:pStyle w:val="BodyText"/>
      </w:pPr>
      <w:r>
        <w:t xml:space="preserve">Cancellation shall:</w:t>
      </w:r>
    </w:p>
    <w:p>
      <w:pPr>
        <w:pStyle w:val="Compact"/>
        <w:numPr>
          <w:ilvl w:val="0"/>
          <w:numId w:val="1024"/>
        </w:numPr>
      </w:pPr>
      <w:r>
        <w:t xml:space="preserve">remain distinguishable from success</w:t>
      </w:r>
    </w:p>
    <w:p>
      <w:pPr>
        <w:pStyle w:val="Compact"/>
        <w:numPr>
          <w:ilvl w:val="0"/>
          <w:numId w:val="1024"/>
        </w:numPr>
      </w:pPr>
      <w:r>
        <w:t xml:space="preserve">propagate where appropriate</w:t>
      </w:r>
    </w:p>
    <w:p>
      <w:pPr>
        <w:pStyle w:val="Compact"/>
        <w:numPr>
          <w:ilvl w:val="0"/>
          <w:numId w:val="1024"/>
        </w:numPr>
      </w:pPr>
      <w:r>
        <w:t xml:space="preserve">release resources</w:t>
      </w:r>
    </w:p>
    <w:p>
      <w:pPr>
        <w:pStyle w:val="Compact"/>
        <w:numPr>
          <w:ilvl w:val="0"/>
          <w:numId w:val="1024"/>
        </w:numPr>
      </w:pPr>
      <w:r>
        <w:t xml:space="preserve">preserve valid state</w:t>
      </w:r>
    </w:p>
    <w:p>
      <w:pPr>
        <w:pStyle w:val="Compact"/>
        <w:numPr>
          <w:ilvl w:val="0"/>
          <w:numId w:val="1024"/>
        </w:numPr>
      </w:pPr>
      <w:r>
        <w:t xml:space="preserve">not imply external acknowledgement</w:t>
      </w:r>
    </w:p>
    <w:p>
      <w:pPr>
        <w:pStyle w:val="FirstParagraph"/>
      </w:pPr>
      <w:r>
        <w:t xml:space="preserve">Do not swallow cancellation silently.</w:t>
      </w:r>
    </w:p>
    <w:p>
      <w:pPr>
        <w:pStyle w:val="BodyText"/>
      </w:pPr>
      <w:r>
        <w:t xml:space="preserve">Cancellation handling shall remain explicit in business-critical workflows.</w:t>
      </w:r>
    </w:p>
    <w:p>
      <w:r>
        <w:pict>
          <v:rect style="width:0;height:1.5pt" o:hralign="center" o:hrstd="t" o:hr="t"/>
        </w:pict>
      </w:r>
    </w:p>
    <w:bookmarkEnd w:id="43"/>
    <w:bookmarkStart w:id="44" w:name="timeouts"/>
    <w:p>
      <w:pPr>
        <w:pStyle w:val="Heading1"/>
      </w:pPr>
      <w:r>
        <w:t xml:space="preserve">Timeouts</w:t>
      </w:r>
    </w:p>
    <w:p>
      <w:pPr>
        <w:pStyle w:val="FirstParagraph"/>
      </w:pPr>
      <w:r>
        <w:t xml:space="preserve">External operations shall use explicit timeout behaviour where appropriate.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5"/>
        </w:numPr>
      </w:pPr>
      <w:r>
        <w:t xml:space="preserve">broker communication</w:t>
      </w:r>
    </w:p>
    <w:p>
      <w:pPr>
        <w:pStyle w:val="Compact"/>
        <w:numPr>
          <w:ilvl w:val="0"/>
          <w:numId w:val="1025"/>
        </w:numPr>
      </w:pPr>
      <w:r>
        <w:t xml:space="preserve">market data requests</w:t>
      </w:r>
    </w:p>
    <w:p>
      <w:pPr>
        <w:pStyle w:val="Compact"/>
        <w:numPr>
          <w:ilvl w:val="0"/>
          <w:numId w:val="1025"/>
        </w:numPr>
      </w:pPr>
      <w:r>
        <w:t xml:space="preserve">external APIs</w:t>
      </w:r>
    </w:p>
    <w:p>
      <w:pPr>
        <w:pStyle w:val="FirstParagraph"/>
      </w:pPr>
      <w:r>
        <w:t xml:space="preserve">Timeout shall remain distinguishable from:</w:t>
      </w:r>
    </w:p>
    <w:p>
      <w:pPr>
        <w:pStyle w:val="Compact"/>
        <w:numPr>
          <w:ilvl w:val="0"/>
          <w:numId w:val="1026"/>
        </w:numPr>
      </w:pPr>
      <w:r>
        <w:t xml:space="preserve">rejection</w:t>
      </w:r>
    </w:p>
    <w:p>
      <w:pPr>
        <w:pStyle w:val="Compact"/>
        <w:numPr>
          <w:ilvl w:val="0"/>
          <w:numId w:val="1026"/>
        </w:numPr>
      </w:pPr>
      <w:r>
        <w:t xml:space="preserve">cancellation</w:t>
      </w:r>
    </w:p>
    <w:p>
      <w:pPr>
        <w:pStyle w:val="Compact"/>
        <w:numPr>
          <w:ilvl w:val="0"/>
          <w:numId w:val="1026"/>
        </w:numPr>
      </w:pPr>
      <w:r>
        <w:t xml:space="preserve">disconnection</w:t>
      </w:r>
    </w:p>
    <w:p>
      <w:pPr>
        <w:pStyle w:val="Compact"/>
        <w:numPr>
          <w:ilvl w:val="0"/>
          <w:numId w:val="1026"/>
        </w:numPr>
      </w:pPr>
      <w:r>
        <w:t xml:space="preserve">unavailable capability</w:t>
      </w:r>
    </w:p>
    <w:p>
      <w:pPr>
        <w:pStyle w:val="FirstParagraph"/>
      </w:pPr>
      <w:r>
        <w:t xml:space="preserve">Do not convert every timeout into a generic failure result.</w:t>
      </w:r>
    </w:p>
    <w:p>
      <w:r>
        <w:pict>
          <v:rect style="width:0;height:1.5pt" o:hralign="center" o:hrstd="t" o:hr="t"/>
        </w:pict>
      </w:r>
    </w:p>
    <w:bookmarkEnd w:id="44"/>
    <w:bookmarkStart w:id="45" w:name="error-handling"/>
    <w:p>
      <w:pPr>
        <w:pStyle w:val="Heading1"/>
      </w:pPr>
      <w:r>
        <w:t xml:space="preserve">Error Handling</w:t>
      </w:r>
    </w:p>
    <w:p>
      <w:pPr>
        <w:pStyle w:val="FirstParagraph"/>
      </w:pPr>
      <w:r>
        <w:t xml:space="preserve">Errors shall:</w:t>
      </w:r>
    </w:p>
    <w:p>
      <w:pPr>
        <w:pStyle w:val="Compact"/>
        <w:numPr>
          <w:ilvl w:val="0"/>
          <w:numId w:val="1027"/>
        </w:numPr>
      </w:pPr>
      <w:r>
        <w:t xml:space="preserve">fail explicitly</w:t>
      </w:r>
    </w:p>
    <w:p>
      <w:pPr>
        <w:pStyle w:val="Compact"/>
        <w:numPr>
          <w:ilvl w:val="0"/>
          <w:numId w:val="1027"/>
        </w:numPr>
      </w:pPr>
      <w:r>
        <w:t xml:space="preserve">preserve meaningful context</w:t>
      </w:r>
    </w:p>
    <w:p>
      <w:pPr>
        <w:pStyle w:val="Compact"/>
        <w:numPr>
          <w:ilvl w:val="0"/>
          <w:numId w:val="1027"/>
        </w:numPr>
      </w:pPr>
      <w:r>
        <w:t xml:space="preserve">use appropriate exception types or result states</w:t>
      </w:r>
    </w:p>
    <w:p>
      <w:pPr>
        <w:pStyle w:val="Compact"/>
        <w:numPr>
          <w:ilvl w:val="0"/>
          <w:numId w:val="1027"/>
        </w:numPr>
      </w:pPr>
      <w:r>
        <w:t xml:space="preserve">never be silently ignored</w:t>
      </w:r>
    </w:p>
    <w:p>
      <w:pPr>
        <w:pStyle w:val="FirstParagraph"/>
      </w:pPr>
      <w:r>
        <w:t xml:space="preserve">Avoid:</w:t>
      </w:r>
    </w:p>
    <w:p>
      <w:pPr>
        <w:pStyle w:val="SourceCode"/>
      </w:pPr>
      <w:r>
        <w:rPr>
          <w:rStyle w:val="VerbatimChar"/>
        </w:rPr>
        <w:t xml:space="preserve">try: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except Exception:</w:t>
      </w:r>
      <w:r>
        <w:br/>
      </w:r>
      <w:r>
        <w:rPr>
          <w:rStyle w:val="VerbatimChar"/>
        </w:rPr>
        <w:t xml:space="preserve">    pass</w:t>
      </w:r>
    </w:p>
    <w:p>
      <w:pPr>
        <w:pStyle w:val="FirstParagraph"/>
      </w:pPr>
      <w:r>
        <w:t xml:space="preserve">Unexpected exceptions shall preserve technical context.</w:t>
      </w:r>
    </w:p>
    <w:p>
      <w:pPr>
        <w:pStyle w:val="BodyText"/>
      </w:pPr>
      <w:r>
        <w:t xml:space="preserve">Expected business failures shall use explicit business states or Domain Exceptions where appropriate.</w:t>
      </w:r>
    </w:p>
    <w:p>
      <w:r>
        <w:pict>
          <v:rect style="width:0;height:1.5pt" o:hralign="center" o:hrstd="t" o:hr="t"/>
        </w:pict>
      </w:r>
    </w:p>
    <w:bookmarkEnd w:id="45"/>
    <w:bookmarkStart w:id="46" w:name="exception-ownership"/>
    <w:p>
      <w:pPr>
        <w:pStyle w:val="Heading1"/>
      </w:pPr>
      <w:r>
        <w:t xml:space="preserve">Exception Ownership</w:t>
      </w:r>
    </w:p>
    <w:p>
      <w:pPr>
        <w:pStyle w:val="FirstParagraph"/>
      </w:pPr>
      <w:r>
        <w:t xml:space="preserve">Exceptions shall be translated at architecture boundaries.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Provider Error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Infrastructure Adapter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Application-Oriented Integration Error</w:t>
      </w:r>
    </w:p>
    <w:p>
      <w:pPr>
        <w:pStyle w:val="FirstParagraph"/>
      </w:pPr>
      <w:r>
        <w:t xml:space="preserve">Provider-specific exceptions shall not leak into Domain workflows unless explicitly required.</w:t>
      </w:r>
    </w:p>
    <w:p>
      <w:pPr>
        <w:pStyle w:val="BodyText"/>
      </w:pPr>
      <w:r>
        <w:t xml:space="preserve">Infrastructure failures shall not be disguised as Domain rule violations.</w:t>
      </w:r>
    </w:p>
    <w:p>
      <w:r>
        <w:pict>
          <v:rect style="width:0;height:1.5pt" o:hralign="center" o:hrstd="t" o:hr="t"/>
        </w:pict>
      </w:r>
    </w:p>
    <w:bookmarkEnd w:id="46"/>
    <w:bookmarkStart w:id="47" w:name="logging"/>
    <w:p>
      <w:pPr>
        <w:pStyle w:val="Heading1"/>
      </w:pPr>
      <w:r>
        <w:t xml:space="preserve">Logging</w:t>
      </w:r>
    </w:p>
    <w:p>
      <w:pPr>
        <w:pStyle w:val="FirstParagraph"/>
      </w:pPr>
      <w:r>
        <w:t xml:space="preserve">Use the project logging infrastructure.</w:t>
      </w:r>
    </w:p>
    <w:p>
      <w:pPr>
        <w:pStyle w:val="BodyText"/>
      </w:pPr>
      <w:r>
        <w:t xml:space="preserve">Never use:</w:t>
      </w:r>
    </w:p>
    <w:p>
      <w:pPr>
        <w:pStyle w:val="SourceCode"/>
      </w:pPr>
      <w:r>
        <w:rPr>
          <w:rStyle w:val="VerbatimChar"/>
        </w:rPr>
        <w:t xml:space="preserve">print(...)</w:t>
      </w:r>
    </w:p>
    <w:p>
      <w:pPr>
        <w:pStyle w:val="FirstParagraph"/>
      </w:pPr>
      <w:r>
        <w:t xml:space="preserve">for production diagnostics.</w:t>
      </w:r>
    </w:p>
    <w:p>
      <w:pPr>
        <w:pStyle w:val="BodyText"/>
      </w:pPr>
      <w:r>
        <w:t xml:space="preserve">Use deterministic structured event names.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logger.info(</w:t>
      </w:r>
      <w:r>
        <w:br/>
      </w:r>
      <w:r>
        <w:rPr>
          <w:rStyle w:val="VerbatimChar"/>
        </w:rPr>
        <w:t xml:space="preserve">    "ORDER_ACKNOWLEDGED",</w:t>
      </w:r>
      <w:r>
        <w:br/>
      </w:r>
      <w:r>
        <w:rPr>
          <w:rStyle w:val="VerbatimChar"/>
        </w:rPr>
        <w:t xml:space="preserve">    extra={</w:t>
      </w:r>
      <w:r>
        <w:br/>
      </w:r>
      <w:r>
        <w:rPr>
          <w:rStyle w:val="VerbatimChar"/>
        </w:rPr>
        <w:t xml:space="preserve">        "order_id": str(order_id),</w:t>
      </w:r>
      <w:r>
        <w:br/>
      </w:r>
      <w:r>
        <w:rPr>
          <w:rStyle w:val="VerbatimChar"/>
        </w:rPr>
        <w:t xml:space="preserve">        "environment": environment.value,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Logging shall not become the authoritative business state.</w:t>
      </w:r>
    </w:p>
    <w:p>
      <w:r>
        <w:pict>
          <v:rect style="width:0;height:1.5pt" o:hralign="center" o:hrstd="t" o:hr="t"/>
        </w:pict>
      </w:r>
    </w:p>
    <w:bookmarkEnd w:id="47"/>
    <w:bookmarkStart w:id="48" w:name="logging-context"/>
    <w:p>
      <w:pPr>
        <w:pStyle w:val="Heading1"/>
      </w:pPr>
      <w:r>
        <w:t xml:space="preserve">Logging Context</w:t>
      </w:r>
    </w:p>
    <w:p>
      <w:pPr>
        <w:pStyle w:val="FirstParagraph"/>
      </w:pPr>
      <w:r>
        <w:t xml:space="preserve">Business-critical logs should include relevant canonical identity.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instrument_id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candidate_id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decision_id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order_id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position_id</w:t>
      </w:r>
    </w:p>
    <w:p>
      <w:pPr>
        <w:pStyle w:val="FirstParagraph"/>
      </w:pPr>
      <w:r>
        <w:t xml:space="preserve">Trading-related logs shall include PAPER or LIVE context where relevant.</w:t>
      </w:r>
    </w:p>
    <w:p>
      <w:pPr>
        <w:pStyle w:val="BodyText"/>
      </w:pPr>
      <w:r>
        <w:t xml:space="preserve">Do not log complete provider payloads blindly.</w:t>
      </w:r>
    </w:p>
    <w:p>
      <w:r>
        <w:pict>
          <v:rect style="width:0;height:1.5pt" o:hralign="center" o:hrstd="t" o:hr="t"/>
        </w:pict>
      </w:r>
    </w:p>
    <w:bookmarkEnd w:id="48"/>
    <w:bookmarkStart w:id="49" w:name="sensitive-data"/>
    <w:p>
      <w:pPr>
        <w:pStyle w:val="Heading1"/>
      </w:pPr>
      <w:r>
        <w:t xml:space="preserve">Sensitive Data</w:t>
      </w:r>
    </w:p>
    <w:p>
      <w:pPr>
        <w:pStyle w:val="FirstParagraph"/>
      </w:pPr>
      <w:r>
        <w:t xml:space="preserve">Never log:</w:t>
      </w:r>
    </w:p>
    <w:p>
      <w:pPr>
        <w:pStyle w:val="Compact"/>
        <w:numPr>
          <w:ilvl w:val="0"/>
          <w:numId w:val="1029"/>
        </w:numPr>
      </w:pPr>
      <w:r>
        <w:t xml:space="preserve">passwords</w:t>
      </w:r>
    </w:p>
    <w:p>
      <w:pPr>
        <w:pStyle w:val="Compact"/>
        <w:numPr>
          <w:ilvl w:val="0"/>
          <w:numId w:val="1029"/>
        </w:numPr>
      </w:pPr>
      <w:r>
        <w:t xml:space="preserve">tokens</w:t>
      </w:r>
    </w:p>
    <w:p>
      <w:pPr>
        <w:pStyle w:val="Compact"/>
        <w:numPr>
          <w:ilvl w:val="0"/>
          <w:numId w:val="1029"/>
        </w:numPr>
      </w:pPr>
      <w:r>
        <w:t xml:space="preserve">API keys</w:t>
      </w:r>
    </w:p>
    <w:p>
      <w:pPr>
        <w:pStyle w:val="Compact"/>
        <w:numPr>
          <w:ilvl w:val="0"/>
          <w:numId w:val="1029"/>
        </w:numPr>
      </w:pPr>
      <w:r>
        <w:t xml:space="preserve">broker credentials</w:t>
      </w:r>
    </w:p>
    <w:p>
      <w:pPr>
        <w:pStyle w:val="Compact"/>
        <w:numPr>
          <w:ilvl w:val="0"/>
          <w:numId w:val="1029"/>
        </w:numPr>
      </w:pPr>
      <w:r>
        <w:t xml:space="preserve">secret environment variables</w:t>
      </w:r>
    </w:p>
    <w:p>
      <w:pPr>
        <w:pStyle w:val="Compact"/>
        <w:numPr>
          <w:ilvl w:val="0"/>
          <w:numId w:val="1029"/>
        </w:numPr>
      </w:pPr>
      <w:r>
        <w:t xml:space="preserve">private keys</w:t>
      </w:r>
    </w:p>
    <w:p>
      <w:pPr>
        <w:pStyle w:val="FirstParagraph"/>
      </w:pPr>
      <w:r>
        <w:t xml:space="preserve">Personal and account information shall be omitted or masked where practical.</w:t>
      </w:r>
    </w:p>
    <w:p>
      <w:pPr>
        <w:pStyle w:val="BodyText"/>
      </w:pPr>
      <w:r>
        <w:t xml:space="preserve">Sensitive values shall not appear in exception messages.</w:t>
      </w:r>
    </w:p>
    <w:p>
      <w:r>
        <w:pict>
          <v:rect style="width:0;height:1.5pt" o:hralign="center" o:hrstd="t" o:hr="t"/>
        </w:pict>
      </w:r>
    </w:p>
    <w:bookmarkEnd w:id="49"/>
    <w:bookmarkStart w:id="50" w:name="comments"/>
    <w:p>
      <w:pPr>
        <w:pStyle w:val="Heading1"/>
      </w:pPr>
      <w:r>
        <w:t xml:space="preserve">Comments</w:t>
      </w:r>
    </w:p>
    <w:p>
      <w:pPr>
        <w:pStyle w:val="FirstParagraph"/>
      </w:pPr>
      <w:r>
        <w:t xml:space="preserve">Prefer self-explanatory code.</w:t>
      </w:r>
    </w:p>
    <w:p>
      <w:pPr>
        <w:pStyle w:val="BodyText"/>
      </w:pPr>
      <w:r>
        <w:t xml:space="preserve">Comments should explain:</w:t>
      </w:r>
    </w:p>
    <w:p>
      <w:pPr>
        <w:pStyle w:val="Compact"/>
        <w:numPr>
          <w:ilvl w:val="0"/>
          <w:numId w:val="1030"/>
        </w:numPr>
      </w:pPr>
      <w:r>
        <w:t xml:space="preserve">why</w:t>
      </w:r>
    </w:p>
    <w:p>
      <w:pPr>
        <w:pStyle w:val="Compact"/>
        <w:numPr>
          <w:ilvl w:val="0"/>
          <w:numId w:val="1030"/>
        </w:numPr>
      </w:pPr>
      <w:r>
        <w:t xml:space="preserve">architectural constraints</w:t>
      </w:r>
    </w:p>
    <w:p>
      <w:pPr>
        <w:pStyle w:val="Compact"/>
        <w:numPr>
          <w:ilvl w:val="0"/>
          <w:numId w:val="1030"/>
        </w:numPr>
      </w:pPr>
      <w:r>
        <w:t xml:space="preserve">non-obvious external behaviour</w:t>
      </w:r>
    </w:p>
    <w:p>
      <w:pPr>
        <w:pStyle w:val="Compact"/>
        <w:numPr>
          <w:ilvl w:val="0"/>
          <w:numId w:val="1030"/>
        </w:numPr>
      </w:pPr>
      <w:r>
        <w:t xml:space="preserve">business-critical reasoning</w:t>
      </w:r>
    </w:p>
    <w:p>
      <w:pPr>
        <w:pStyle w:val="FirstParagraph"/>
      </w:pPr>
      <w:r>
        <w:t xml:space="preserve">Comments should not merely restate what the code does.</w:t>
      </w:r>
    </w:p>
    <w:p>
      <w:pPr>
        <w:pStyle w:val="BodyText"/>
      </w:pPr>
      <w:r>
        <w:t xml:space="preserve">Avoid:</w:t>
      </w:r>
    </w:p>
    <w:p>
      <w:pPr>
        <w:pStyle w:val="SourceCode"/>
      </w:pPr>
      <w:r>
        <w:rPr>
          <w:rStyle w:val="VerbatimChar"/>
        </w:rPr>
        <w:t xml:space="preserve"># Increment counter</w:t>
      </w:r>
      <w:r>
        <w:br/>
      </w:r>
      <w:r>
        <w:rPr>
          <w:rStyle w:val="VerbatimChar"/>
        </w:rPr>
        <w:t xml:space="preserve">counter += 1</w:t>
      </w:r>
    </w:p>
    <w:p>
      <w:pPr>
        <w:pStyle w:val="FirstParagraph"/>
      </w:pPr>
      <w:r>
        <w:t xml:space="preserve">Useful example:</w:t>
      </w:r>
    </w:p>
    <w:p>
      <w:pPr>
        <w:pStyle w:val="SourceCode"/>
      </w:pPr>
      <w:r>
        <w:rPr>
          <w:rStyle w:val="VerbatimChar"/>
        </w:rPr>
        <w:t xml:space="preserve"># Broker reconnection must not repeat order submission because</w:t>
      </w:r>
      <w:r>
        <w:br/>
      </w:r>
      <w:r>
        <w:rPr>
          <w:rStyle w:val="VerbatimChar"/>
        </w:rPr>
        <w:t xml:space="preserve"># the previous transmission state may be unknown.</w:t>
      </w:r>
    </w:p>
    <w:p>
      <w:r>
        <w:pict>
          <v:rect style="width:0;height:1.5pt" o:hralign="center" o:hrstd="t" o:hr="t"/>
        </w:pict>
      </w:r>
    </w:p>
    <w:bookmarkEnd w:id="50"/>
    <w:bookmarkStart w:id="51" w:name="docstrings"/>
    <w:p>
      <w:pPr>
        <w:pStyle w:val="Heading1"/>
      </w:pPr>
      <w:r>
        <w:t xml:space="preserve">Docstrings</w:t>
      </w:r>
    </w:p>
    <w:p>
      <w:pPr>
        <w:pStyle w:val="FirstParagraph"/>
      </w:pPr>
      <w:r>
        <w:t xml:space="preserve">Public modules, classes and functions should contain meaningful docstrings where the contract is not obvious.</w:t>
      </w:r>
    </w:p>
    <w:p>
      <w:pPr>
        <w:pStyle w:val="BodyText"/>
      </w:pPr>
      <w:r>
        <w:t xml:space="preserve">Docstrings should explain:</w:t>
      </w:r>
    </w:p>
    <w:p>
      <w:pPr>
        <w:pStyle w:val="Compact"/>
        <w:numPr>
          <w:ilvl w:val="0"/>
          <w:numId w:val="1031"/>
        </w:numPr>
      </w:pPr>
      <w:r>
        <w:t xml:space="preserve">purpose</w:t>
      </w:r>
    </w:p>
    <w:p>
      <w:pPr>
        <w:pStyle w:val="Compact"/>
        <w:numPr>
          <w:ilvl w:val="0"/>
          <w:numId w:val="1031"/>
        </w:numPr>
      </w:pPr>
      <w:r>
        <w:t xml:space="preserve">important behaviour</w:t>
      </w:r>
    </w:p>
    <w:p>
      <w:pPr>
        <w:pStyle w:val="Compact"/>
        <w:numPr>
          <w:ilvl w:val="0"/>
          <w:numId w:val="1031"/>
        </w:numPr>
      </w:pPr>
      <w:r>
        <w:t xml:space="preserve">failure semantics</w:t>
      </w:r>
    </w:p>
    <w:p>
      <w:pPr>
        <w:pStyle w:val="Compact"/>
        <w:numPr>
          <w:ilvl w:val="0"/>
          <w:numId w:val="1031"/>
        </w:numPr>
      </w:pPr>
      <w:r>
        <w:t xml:space="preserve">side effects where relevant</w:t>
      </w:r>
    </w:p>
    <w:p>
      <w:pPr>
        <w:pStyle w:val="FirstParagraph"/>
      </w:pPr>
      <w:r>
        <w:t xml:space="preserve">Do not duplicate type hints in verbose parameter descriptions without additional value.</w:t>
      </w:r>
    </w:p>
    <w:p>
      <w:r>
        <w:pict>
          <v:rect style="width:0;height:1.5pt" o:hralign="center" o:hrstd="t" o:hr="t"/>
        </w:pict>
      </w:r>
    </w:p>
    <w:bookmarkEnd w:id="51"/>
    <w:bookmarkStart w:id="52" w:name="formatting"/>
    <w:p>
      <w:pPr>
        <w:pStyle w:val="Heading1"/>
      </w:pPr>
      <w:r>
        <w:t xml:space="preserve">Formatting</w:t>
      </w:r>
    </w:p>
    <w:p>
      <w:pPr>
        <w:pStyle w:val="FirstParagraph"/>
      </w:pPr>
      <w:r>
        <w:t xml:space="preserve">Formatting is enforced using:</w:t>
      </w:r>
    </w:p>
    <w:p>
      <w:pPr>
        <w:pStyle w:val="Compact"/>
        <w:numPr>
          <w:ilvl w:val="0"/>
          <w:numId w:val="1032"/>
        </w:numPr>
      </w:pPr>
      <w:r>
        <w:t xml:space="preserve">Ruff</w:t>
      </w:r>
    </w:p>
    <w:p>
      <w:pPr>
        <w:pStyle w:val="Compact"/>
        <w:numPr>
          <w:ilvl w:val="0"/>
          <w:numId w:val="1032"/>
        </w:numPr>
      </w:pPr>
      <w:r>
        <w:t xml:space="preserve">Ruff Format</w:t>
      </w:r>
    </w:p>
    <w:p>
      <w:pPr>
        <w:pStyle w:val="FirstParagraph"/>
      </w:pPr>
      <w:r>
        <w:t xml:space="preserve">CI verification uses:</w:t>
      </w:r>
    </w:p>
    <w:p>
      <w:pPr>
        <w:pStyle w:val="SourceCode"/>
      </w:pPr>
      <w:r>
        <w:rPr>
          <w:rStyle w:val="VerbatimChar"/>
        </w:rPr>
        <w:t xml:space="preserve">ruff check .</w:t>
      </w:r>
      <w:r>
        <w:br/>
      </w:r>
      <w:r>
        <w:rPr>
          <w:rStyle w:val="VerbatimChar"/>
        </w:rPr>
        <w:t xml:space="preserve">ruff format --check .</w:t>
      </w:r>
    </w:p>
    <w:p>
      <w:pPr>
        <w:pStyle w:val="FirstParagraph"/>
      </w:pPr>
      <w:r>
        <w:t xml:space="preserve">Do not manually fight the formatter.</w:t>
      </w:r>
    </w:p>
    <w:p>
      <w:r>
        <w:pict>
          <v:rect style="width:0;height:1.5pt" o:hralign="center" o:hrstd="t" o:hr="t"/>
        </w:pict>
      </w:r>
    </w:p>
    <w:bookmarkEnd w:id="52"/>
    <w:bookmarkStart w:id="53" w:name="order-side-effects"/>
    <w:p>
      <w:pPr>
        <w:pStyle w:val="Heading1"/>
      </w:pPr>
      <w:r>
        <w:t xml:space="preserve">Order Side Effects</w:t>
      </w:r>
    </w:p>
    <w:p>
      <w:pPr>
        <w:pStyle w:val="FirstParagraph"/>
      </w:pPr>
      <w:r>
        <w:t xml:space="preserve">Order submission is an external business-critical side effect.</w:t>
      </w:r>
    </w:p>
    <w:p>
      <w:pPr>
        <w:pStyle w:val="BodyText"/>
      </w:pPr>
      <w:r>
        <w:t xml:space="preserve">Code that may submit an order shall remain explicitly identifiable.</w:t>
      </w:r>
    </w:p>
    <w:p>
      <w:pPr>
        <w:pStyle w:val="BodyText"/>
      </w:pPr>
      <w:r>
        <w:t xml:space="preserve">Order submission shall occur only through an Application-owned workflow.</w:t>
      </w:r>
    </w:p>
    <w:p>
      <w:pPr>
        <w:pStyle w:val="BodyText"/>
      </w:pPr>
      <w:r>
        <w:t xml:space="preserve">Avoid direct broker submission from:</w:t>
      </w:r>
    </w:p>
    <w:p>
      <w:pPr>
        <w:pStyle w:val="Compact"/>
        <w:numPr>
          <w:ilvl w:val="0"/>
          <w:numId w:val="1033"/>
        </w:numPr>
      </w:pPr>
      <w:r>
        <w:t xml:space="preserve">Presentation</w:t>
      </w:r>
    </w:p>
    <w:p>
      <w:pPr>
        <w:pStyle w:val="Compact"/>
        <w:numPr>
          <w:ilvl w:val="0"/>
          <w:numId w:val="1033"/>
        </w:numPr>
      </w:pPr>
      <w:r>
        <w:t xml:space="preserve">Domain</w:t>
      </w:r>
    </w:p>
    <w:p>
      <w:pPr>
        <w:pStyle w:val="Compact"/>
        <w:numPr>
          <w:ilvl w:val="0"/>
          <w:numId w:val="1033"/>
        </w:numPr>
      </w:pPr>
      <w:r>
        <w:t xml:space="preserve">monitoring</w:t>
      </w:r>
    </w:p>
    <w:p>
      <w:pPr>
        <w:pStyle w:val="Compact"/>
        <w:numPr>
          <w:ilvl w:val="0"/>
          <w:numId w:val="1033"/>
        </w:numPr>
      </w:pPr>
      <w:r>
        <w:t xml:space="preserve">logging</w:t>
      </w:r>
    </w:p>
    <w:p>
      <w:pPr>
        <w:pStyle w:val="Compact"/>
        <w:numPr>
          <w:ilvl w:val="0"/>
          <w:numId w:val="1033"/>
        </w:numPr>
      </w:pPr>
      <w:r>
        <w:t xml:space="preserve">health checks</w:t>
      </w:r>
    </w:p>
    <w:p>
      <w:pPr>
        <w:pStyle w:val="Compact"/>
        <w:numPr>
          <w:ilvl w:val="0"/>
          <w:numId w:val="1033"/>
        </w:numPr>
      </w:pPr>
      <w:r>
        <w:t xml:space="preserve">reconciliation observation</w:t>
      </w:r>
    </w:p>
    <w:p>
      <w:pPr>
        <w:pStyle w:val="FirstParagraph"/>
      </w:pPr>
      <w:r>
        <w:t xml:space="preserve">Adapters execute technical submission.</w:t>
      </w:r>
    </w:p>
    <w:p>
      <w:pPr>
        <w:pStyle w:val="BodyText"/>
      </w:pPr>
      <w:r>
        <w:t xml:space="preserve">Application workflows decide whether submission is requested.</w:t>
      </w:r>
    </w:p>
    <w:p>
      <w:r>
        <w:pict>
          <v:rect style="width:0;height:1.5pt" o:hralign="center" o:hrstd="t" o:hr="t"/>
        </w:pict>
      </w:r>
    </w:p>
    <w:bookmarkEnd w:id="53"/>
    <w:bookmarkStart w:id="54" w:name="order-submission-state"/>
    <w:p>
      <w:pPr>
        <w:pStyle w:val="Heading1"/>
      </w:pPr>
      <w:r>
        <w:t xml:space="preserve">Order Submission State</w:t>
      </w:r>
    </w:p>
    <w:p>
      <w:pPr>
        <w:pStyle w:val="FirstParagraph"/>
      </w:pPr>
      <w:r>
        <w:t xml:space="preserve">Code shall preserve the distinction between:</w:t>
      </w:r>
    </w:p>
    <w:p>
      <w:pPr>
        <w:pStyle w:val="SourceCode"/>
      </w:pPr>
      <w:r>
        <w:rPr>
          <w:rStyle w:val="VerbatimChar"/>
        </w:rPr>
        <w:t xml:space="preserve">Submission Requested</w:t>
      </w:r>
      <w:r>
        <w:br/>
      </w:r>
      <w:r>
        <w:rPr>
          <w:rStyle w:val="VerbatimChar"/>
        </w:rPr>
        <w:t xml:space="preserve">Transmitted</w:t>
      </w:r>
      <w:r>
        <w:br/>
      </w:r>
      <w:r>
        <w:rPr>
          <w:rStyle w:val="VerbatimChar"/>
        </w:rPr>
        <w:t xml:space="preserve">Acknowledged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Partially Filled</w:t>
      </w:r>
      <w:r>
        <w:br/>
      </w:r>
      <w:r>
        <w:rPr>
          <w:rStyle w:val="VerbatimChar"/>
        </w:rPr>
        <w:t xml:space="preserve">Filled</w:t>
      </w:r>
    </w:p>
    <w:p>
      <w:pPr>
        <w:pStyle w:val="FirstParagraph"/>
      </w:pPr>
      <w:r>
        <w:t xml:space="preserve">Do not use one boolean such as:</w:t>
      </w:r>
    </w:p>
    <w:p>
      <w:pPr>
        <w:pStyle w:val="SourceCode"/>
      </w:pPr>
      <w:r>
        <w:rPr>
          <w:rStyle w:val="VerbatimChar"/>
        </w:rPr>
        <w:t xml:space="preserve">submitted = True</w:t>
      </w:r>
    </w:p>
    <w:p>
      <w:pPr>
        <w:pStyle w:val="FirstParagraph"/>
      </w:pPr>
      <w:r>
        <w:t xml:space="preserve">to represent multiple lifecycle states.</w:t>
      </w:r>
    </w:p>
    <w:p>
      <w:pPr>
        <w:pStyle w:val="BodyText"/>
      </w:pPr>
      <w:r>
        <w:t xml:space="preserve">A successful adapter call shall not automatically mean broker acknowledgement.</w:t>
      </w:r>
    </w:p>
    <w:p>
      <w:r>
        <w:pict>
          <v:rect style="width:0;height:1.5pt" o:hralign="center" o:hrstd="t" o:hr="t"/>
        </w:pict>
      </w:r>
    </w:p>
    <w:bookmarkEnd w:id="54"/>
    <w:bookmarkStart w:id="55" w:name="duplicate-submission-risk"/>
    <w:p>
      <w:pPr>
        <w:pStyle w:val="Heading1"/>
      </w:pPr>
      <w:r>
        <w:t xml:space="preserve">Duplicate Submission Risk</w:t>
      </w:r>
    </w:p>
    <w:p>
      <w:pPr>
        <w:pStyle w:val="FirstParagraph"/>
      </w:pPr>
      <w:r>
        <w:t xml:space="preserve">Duplicate order submission risk shall be considered explicitly.</w:t>
      </w:r>
    </w:p>
    <w:p>
      <w:pPr>
        <w:pStyle w:val="BodyText"/>
      </w:pPr>
      <w:r>
        <w:t xml:space="preserve">Order submission workflows shall use stable identities where required.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OrderId</w:t>
      </w:r>
      <w:r>
        <w:br/>
      </w:r>
      <w:r>
        <w:rPr>
          <w:rStyle w:val="VerbatimChar"/>
        </w:rPr>
        <w:t xml:space="preserve">OrderSubmissionKey</w:t>
      </w:r>
    </w:p>
    <w:p>
      <w:pPr>
        <w:pStyle w:val="FirstParagraph"/>
      </w:pPr>
      <w:r>
        <w:t xml:space="preserve">Duplicate-prevention rules belong to Application workflows.</w:t>
      </w:r>
    </w:p>
    <w:p>
      <w:pPr>
        <w:pStyle w:val="BodyText"/>
      </w:pPr>
      <w:r>
        <w:t xml:space="preserve">Adapters shall not independently decide that repeated submission is safe.</w:t>
      </w:r>
    </w:p>
    <w:p>
      <w:pPr>
        <w:pStyle w:val="BodyText"/>
      </w:pPr>
      <w:r>
        <w:t xml:space="preserve">Code shall not blindly repeat order submission after:</w:t>
      </w:r>
    </w:p>
    <w:p>
      <w:pPr>
        <w:pStyle w:val="Compact"/>
        <w:numPr>
          <w:ilvl w:val="0"/>
          <w:numId w:val="1034"/>
        </w:numPr>
      </w:pPr>
      <w:r>
        <w:t xml:space="preserve">timeout</w:t>
      </w:r>
    </w:p>
    <w:p>
      <w:pPr>
        <w:pStyle w:val="Compact"/>
        <w:numPr>
          <w:ilvl w:val="0"/>
          <w:numId w:val="1034"/>
        </w:numPr>
      </w:pPr>
      <w:r>
        <w:t xml:space="preserve">disconnect</w:t>
      </w:r>
    </w:p>
    <w:p>
      <w:pPr>
        <w:pStyle w:val="Compact"/>
        <w:numPr>
          <w:ilvl w:val="0"/>
          <w:numId w:val="1034"/>
        </w:numPr>
      </w:pPr>
      <w:r>
        <w:t xml:space="preserve">reconnect</w:t>
      </w:r>
    </w:p>
    <w:p>
      <w:pPr>
        <w:pStyle w:val="Compact"/>
        <w:numPr>
          <w:ilvl w:val="0"/>
          <w:numId w:val="1034"/>
        </w:numPr>
      </w:pPr>
      <w:r>
        <w:t xml:space="preserve">unknown acknowledgement state</w:t>
      </w:r>
    </w:p>
    <w:p>
      <w:pPr>
        <w:pStyle w:val="FirstParagraph"/>
      </w:pPr>
      <w:r>
        <w:t xml:space="preserve">Unknown external state requires explicit workflow handling.</w:t>
      </w:r>
    </w:p>
    <w:p>
      <w:r>
        <w:pict>
          <v:rect style="width:0;height:1.5pt" o:hralign="center" o:hrstd="t" o:hr="t"/>
        </w:pict>
      </w:r>
    </w:p>
    <w:bookmarkEnd w:id="55"/>
    <w:bookmarkStart w:id="56" w:name="retry-behaviour"/>
    <w:p>
      <w:pPr>
        <w:pStyle w:val="Heading1"/>
      </w:pPr>
      <w:r>
        <w:t xml:space="preserve">Retry Behaviour</w:t>
      </w:r>
    </w:p>
    <w:p>
      <w:pPr>
        <w:pStyle w:val="FirstParagraph"/>
      </w:pPr>
      <w:r>
        <w:t xml:space="preserve">Retries shall be explicit.</w:t>
      </w:r>
    </w:p>
    <w:p>
      <w:pPr>
        <w:pStyle w:val="BodyText"/>
      </w:pPr>
      <w:r>
        <w:t xml:space="preserve">Before implementing retry evaluate:</w:t>
      </w:r>
    </w:p>
    <w:p>
      <w:pPr>
        <w:pStyle w:val="Compact"/>
        <w:numPr>
          <w:ilvl w:val="0"/>
          <w:numId w:val="1035"/>
        </w:numPr>
      </w:pPr>
      <w:r>
        <w:t xml:space="preserve">idempotency</w:t>
      </w:r>
    </w:p>
    <w:p>
      <w:pPr>
        <w:pStyle w:val="Compact"/>
        <w:numPr>
          <w:ilvl w:val="0"/>
          <w:numId w:val="1035"/>
        </w:numPr>
      </w:pPr>
      <w:r>
        <w:t xml:space="preserve">external side effects</w:t>
      </w:r>
    </w:p>
    <w:p>
      <w:pPr>
        <w:pStyle w:val="Compact"/>
        <w:numPr>
          <w:ilvl w:val="0"/>
          <w:numId w:val="1035"/>
        </w:numPr>
      </w:pPr>
      <w:r>
        <w:t xml:space="preserve">duplicate execution risk</w:t>
      </w:r>
    </w:p>
    <w:p>
      <w:pPr>
        <w:pStyle w:val="Compact"/>
        <w:numPr>
          <w:ilvl w:val="0"/>
          <w:numId w:val="1035"/>
        </w:numPr>
      </w:pPr>
      <w:r>
        <w:t xml:space="preserve">provider behaviour</w:t>
      </w:r>
    </w:p>
    <w:p>
      <w:pPr>
        <w:pStyle w:val="Compact"/>
        <w:numPr>
          <w:ilvl w:val="0"/>
          <w:numId w:val="1035"/>
        </w:numPr>
      </w:pPr>
      <w:r>
        <w:t xml:space="preserve">workflow ownership</w:t>
      </w:r>
    </w:p>
    <w:p>
      <w:pPr>
        <w:pStyle w:val="FirstParagraph"/>
      </w:pPr>
      <w:r>
        <w:t xml:space="preserve">Automatic retry may be appropriate for selected read operations.</w:t>
      </w:r>
    </w:p>
    <w:p>
      <w:pPr>
        <w:pStyle w:val="BodyText"/>
      </w:pPr>
      <w:r>
        <w:t xml:space="preserve">Automatic order submission retry is prohibited unless explicitly defined and approved by the owning order workflow.</w:t>
      </w:r>
    </w:p>
    <w:p>
      <w:pPr>
        <w:pStyle w:val="BodyText"/>
      </w:pPr>
      <w:r>
        <w:t xml:space="preserve">Avoid generic retry decorators around trading-critical side-effect operations.</w:t>
      </w:r>
    </w:p>
    <w:p>
      <w:r>
        <w:pict>
          <v:rect style="width:0;height:1.5pt" o:hralign="center" o:hrstd="t" o:hr="t"/>
        </w:pict>
      </w:r>
    </w:p>
    <w:bookmarkEnd w:id="56"/>
    <w:bookmarkStart w:id="57" w:name="broker-code"/>
    <w:p>
      <w:pPr>
        <w:pStyle w:val="Heading1"/>
      </w:pPr>
      <w:r>
        <w:t xml:space="preserve">Broker Code</w:t>
      </w:r>
    </w:p>
    <w:p>
      <w:pPr>
        <w:pStyle w:val="FirstParagraph"/>
      </w:pPr>
      <w:r>
        <w:t xml:space="preserve">Broker adapter code shall focus on:</w:t>
      </w:r>
    </w:p>
    <w:p>
      <w:pPr>
        <w:pStyle w:val="Compact"/>
        <w:numPr>
          <w:ilvl w:val="0"/>
          <w:numId w:val="1036"/>
        </w:numPr>
      </w:pPr>
      <w:r>
        <w:t xml:space="preserve">provider communication</w:t>
      </w:r>
    </w:p>
    <w:p>
      <w:pPr>
        <w:pStyle w:val="Compact"/>
        <w:numPr>
          <w:ilvl w:val="0"/>
          <w:numId w:val="1036"/>
        </w:numPr>
      </w:pPr>
      <w:r>
        <w:t xml:space="preserve">provider model translation</w:t>
      </w:r>
    </w:p>
    <w:p>
      <w:pPr>
        <w:pStyle w:val="Compact"/>
        <w:numPr>
          <w:ilvl w:val="0"/>
          <w:numId w:val="1036"/>
        </w:numPr>
      </w:pPr>
      <w:r>
        <w:t xml:space="preserve">provider identifier translation</w:t>
      </w:r>
    </w:p>
    <w:p>
      <w:pPr>
        <w:pStyle w:val="Compact"/>
        <w:numPr>
          <w:ilvl w:val="0"/>
          <w:numId w:val="1036"/>
        </w:numPr>
      </w:pPr>
      <w:r>
        <w:t xml:space="preserve">provider error translation</w:t>
      </w:r>
    </w:p>
    <w:p>
      <w:pPr>
        <w:pStyle w:val="Compact"/>
        <w:numPr>
          <w:ilvl w:val="0"/>
          <w:numId w:val="1036"/>
        </w:numPr>
      </w:pPr>
      <w:r>
        <w:t xml:space="preserve">technical connection lifecycle</w:t>
      </w:r>
    </w:p>
    <w:p>
      <w:pPr>
        <w:pStyle w:val="FirstParagraph"/>
      </w:pPr>
      <w:r>
        <w:t xml:space="preserve">Broker adapters shall not contain:</w:t>
      </w:r>
    </w:p>
    <w:p>
      <w:pPr>
        <w:pStyle w:val="Compact"/>
        <w:numPr>
          <w:ilvl w:val="0"/>
          <w:numId w:val="1037"/>
        </w:numPr>
      </w:pPr>
      <w:r>
        <w:t xml:space="preserve">candidate acceptance rules</w:t>
      </w:r>
    </w:p>
    <w:p>
      <w:pPr>
        <w:pStyle w:val="Compact"/>
        <w:numPr>
          <w:ilvl w:val="0"/>
          <w:numId w:val="1037"/>
        </w:numPr>
      </w:pPr>
      <w:r>
        <w:t xml:space="preserve">trading decisions</w:t>
      </w:r>
    </w:p>
    <w:p>
      <w:pPr>
        <w:pStyle w:val="Compact"/>
        <w:numPr>
          <w:ilvl w:val="0"/>
          <w:numId w:val="1037"/>
        </w:numPr>
      </w:pPr>
      <w:r>
        <w:t xml:space="preserve">portfolio risk decisions</w:t>
      </w:r>
    </w:p>
    <w:p>
      <w:pPr>
        <w:pStyle w:val="Compact"/>
        <w:numPr>
          <w:ilvl w:val="0"/>
          <w:numId w:val="1037"/>
        </w:numPr>
      </w:pPr>
      <w:r>
        <w:t xml:space="preserve">duplicate submission policy</w:t>
      </w:r>
    </w:p>
    <w:p>
      <w:pPr>
        <w:pStyle w:val="Compact"/>
        <w:numPr>
          <w:ilvl w:val="0"/>
          <w:numId w:val="1037"/>
        </w:numPr>
      </w:pPr>
      <w:r>
        <w:t xml:space="preserve">position close decisions</w:t>
      </w:r>
    </w:p>
    <w:p>
      <w:pPr>
        <w:pStyle w:val="FirstParagraph"/>
      </w:pPr>
      <w:r>
        <w:t xml:space="preserve">Provider-specific logic shall remain isolated.</w:t>
      </w:r>
    </w:p>
    <w:p>
      <w:r>
        <w:pict>
          <v:rect style="width:0;height:1.5pt" o:hralign="center" o:hrstd="t" o:hr="t"/>
        </w:pict>
      </w:r>
    </w:p>
    <w:bookmarkEnd w:id="57"/>
    <w:bookmarkStart w:id="58" w:name="market-data-code"/>
    <w:p>
      <w:pPr>
        <w:pStyle w:val="Heading1"/>
      </w:pPr>
      <w:r>
        <w:t xml:space="preserve">Market Data Code</w:t>
      </w:r>
    </w:p>
    <w:p>
      <w:pPr>
        <w:pStyle w:val="FirstParagraph"/>
      </w:pPr>
      <w:r>
        <w:t xml:space="preserve">Market data adapter code shall focus on:</w:t>
      </w:r>
    </w:p>
    <w:p>
      <w:pPr>
        <w:pStyle w:val="Compact"/>
        <w:numPr>
          <w:ilvl w:val="0"/>
          <w:numId w:val="1038"/>
        </w:numPr>
      </w:pPr>
      <w:r>
        <w:t xml:space="preserve">provider communication</w:t>
      </w:r>
    </w:p>
    <w:p>
      <w:pPr>
        <w:pStyle w:val="Compact"/>
        <w:numPr>
          <w:ilvl w:val="0"/>
          <w:numId w:val="1038"/>
        </w:numPr>
      </w:pPr>
      <w:r>
        <w:t xml:space="preserve">quote translation</w:t>
      </w:r>
    </w:p>
    <w:p>
      <w:pPr>
        <w:pStyle w:val="Compact"/>
        <w:numPr>
          <w:ilvl w:val="0"/>
          <w:numId w:val="1038"/>
        </w:numPr>
      </w:pPr>
      <w:r>
        <w:t xml:space="preserve">timestamp preservation</w:t>
      </w:r>
    </w:p>
    <w:p>
      <w:pPr>
        <w:pStyle w:val="Compact"/>
        <w:numPr>
          <w:ilvl w:val="0"/>
          <w:numId w:val="1038"/>
        </w:numPr>
      </w:pPr>
      <w:r>
        <w:t xml:space="preserve">subscription lifecycle</w:t>
      </w:r>
    </w:p>
    <w:p>
      <w:pPr>
        <w:pStyle w:val="Compact"/>
        <w:numPr>
          <w:ilvl w:val="0"/>
          <w:numId w:val="1038"/>
        </w:numPr>
      </w:pPr>
      <w:r>
        <w:t xml:space="preserve">provider error translation</w:t>
      </w:r>
    </w:p>
    <w:p>
      <w:pPr>
        <w:pStyle w:val="FirstParagraph"/>
      </w:pPr>
      <w:r>
        <w:t xml:space="preserve">Market data adapters shall not contain trading decision rules.</w:t>
      </w:r>
    </w:p>
    <w:p>
      <w:pPr>
        <w:pStyle w:val="BodyText"/>
      </w:pPr>
      <w:r>
        <w:t xml:space="preserve">Cached values shall not silently appear as current provider values.</w:t>
      </w:r>
    </w:p>
    <w:p>
      <w:pPr>
        <w:pStyle w:val="BodyText"/>
      </w:pPr>
      <w:r>
        <w:t xml:space="preserve">Freshness state shall remain explicit where required.</w:t>
      </w:r>
    </w:p>
    <w:p>
      <w:r>
        <w:pict>
          <v:rect style="width:0;height:1.5pt" o:hralign="center" o:hrstd="t" o:hr="t"/>
        </w:pict>
      </w:r>
    </w:p>
    <w:bookmarkEnd w:id="58"/>
    <w:bookmarkStart w:id="59" w:name="repository-code"/>
    <w:p>
      <w:pPr>
        <w:pStyle w:val="Heading1"/>
      </w:pPr>
      <w:r>
        <w:t xml:space="preserve">Repository Code</w:t>
      </w:r>
    </w:p>
    <w:p>
      <w:pPr>
        <w:pStyle w:val="FirstParagraph"/>
      </w:pPr>
      <w:r>
        <w:t xml:space="preserve">Repositories implement persistence requirements.</w:t>
      </w:r>
    </w:p>
    <w:p>
      <w:pPr>
        <w:pStyle w:val="BodyText"/>
      </w:pPr>
      <w:r>
        <w:t xml:space="preserve">Repository code shall:</w:t>
      </w:r>
    </w:p>
    <w:p>
      <w:pPr>
        <w:pStyle w:val="Compact"/>
        <w:numPr>
          <w:ilvl w:val="0"/>
          <w:numId w:val="1039"/>
        </w:numPr>
      </w:pPr>
      <w:r>
        <w:t xml:space="preserve">preserve Domain identity</w:t>
      </w:r>
    </w:p>
    <w:p>
      <w:pPr>
        <w:pStyle w:val="Compact"/>
        <w:numPr>
          <w:ilvl w:val="0"/>
          <w:numId w:val="1039"/>
        </w:numPr>
      </w:pPr>
      <w:r>
        <w:t xml:space="preserve">translate persistence models explicitly</w:t>
      </w:r>
    </w:p>
    <w:p>
      <w:pPr>
        <w:pStyle w:val="Compact"/>
        <w:numPr>
          <w:ilvl w:val="0"/>
          <w:numId w:val="1039"/>
        </w:numPr>
      </w:pPr>
      <w:r>
        <w:t xml:space="preserve">use controlled transactions</w:t>
      </w:r>
    </w:p>
    <w:p>
      <w:pPr>
        <w:pStyle w:val="Compact"/>
        <w:numPr>
          <w:ilvl w:val="0"/>
          <w:numId w:val="1039"/>
        </w:numPr>
      </w:pPr>
      <w:r>
        <w:t xml:space="preserve">expose meaningful persistence operations</w:t>
      </w:r>
    </w:p>
    <w:p>
      <w:pPr>
        <w:pStyle w:val="FirstParagraph"/>
      </w:pPr>
      <w:r>
        <w:t xml:space="preserve">Repositories shall not contain trading decisions.</w:t>
      </w:r>
    </w:p>
    <w:p>
      <w:pPr>
        <w:pStyle w:val="BodyText"/>
      </w:pPr>
      <w:r>
        <w:t xml:space="preserve">Avoid generic repositories created solely to reduce repeated method names.</w:t>
      </w:r>
    </w:p>
    <w:p>
      <w:r>
        <w:pict>
          <v:rect style="width:0;height:1.5pt" o:hralign="center" o:hrstd="t" o:hr="t"/>
        </w:pict>
      </w:r>
    </w:p>
    <w:bookmarkEnd w:id="59"/>
    <w:bookmarkStart w:id="60" w:name="presentation-code"/>
    <w:p>
      <w:pPr>
        <w:pStyle w:val="Heading1"/>
      </w:pPr>
      <w:r>
        <w:t xml:space="preserve">Presentation Code</w:t>
      </w:r>
    </w:p>
    <w:p>
      <w:pPr>
        <w:pStyle w:val="FirstParagraph"/>
      </w:pPr>
      <w:r>
        <w:t xml:space="preserve">Presentation code shall focus on:</w:t>
      </w:r>
    </w:p>
    <w:p>
      <w:pPr>
        <w:pStyle w:val="Compact"/>
        <w:numPr>
          <w:ilvl w:val="0"/>
          <w:numId w:val="1040"/>
        </w:numPr>
      </w:pPr>
      <w:r>
        <w:t xml:space="preserve">rendering</w:t>
      </w:r>
    </w:p>
    <w:p>
      <w:pPr>
        <w:pStyle w:val="Compact"/>
        <w:numPr>
          <w:ilvl w:val="0"/>
          <w:numId w:val="1040"/>
        </w:numPr>
      </w:pPr>
      <w:r>
        <w:t xml:space="preserve">user interaction</w:t>
      </w:r>
    </w:p>
    <w:p>
      <w:pPr>
        <w:pStyle w:val="Compact"/>
        <w:numPr>
          <w:ilvl w:val="0"/>
          <w:numId w:val="1040"/>
        </w:numPr>
      </w:pPr>
      <w:r>
        <w:t xml:space="preserve">presentation state</w:t>
      </w:r>
    </w:p>
    <w:p>
      <w:pPr>
        <w:pStyle w:val="Compact"/>
        <w:numPr>
          <w:ilvl w:val="0"/>
          <w:numId w:val="1040"/>
        </w:numPr>
      </w:pPr>
      <w:r>
        <w:t xml:space="preserve">application command invocation</w:t>
      </w:r>
    </w:p>
    <w:p>
      <w:pPr>
        <w:pStyle w:val="FirstParagraph"/>
      </w:pPr>
      <w:r>
        <w:t xml:space="preserve">Widgets shall not:</w:t>
      </w:r>
    </w:p>
    <w:p>
      <w:pPr>
        <w:pStyle w:val="Compact"/>
        <w:numPr>
          <w:ilvl w:val="0"/>
          <w:numId w:val="1041"/>
        </w:numPr>
      </w:pPr>
      <w:r>
        <w:t xml:space="preserve">construct broker adapters</w:t>
      </w:r>
    </w:p>
    <w:p>
      <w:pPr>
        <w:pStyle w:val="Compact"/>
        <w:numPr>
          <w:ilvl w:val="0"/>
          <w:numId w:val="1041"/>
        </w:numPr>
      </w:pPr>
      <w:r>
        <w:t xml:space="preserve">access SQLAlchemy sessions</w:t>
      </w:r>
    </w:p>
    <w:p>
      <w:pPr>
        <w:pStyle w:val="Compact"/>
        <w:numPr>
          <w:ilvl w:val="0"/>
          <w:numId w:val="1041"/>
        </w:numPr>
      </w:pPr>
      <w:r>
        <w:t xml:space="preserve">submit broker orders directly</w:t>
      </w:r>
    </w:p>
    <w:p>
      <w:pPr>
        <w:pStyle w:val="Compact"/>
        <w:numPr>
          <w:ilvl w:val="0"/>
          <w:numId w:val="1041"/>
        </w:numPr>
      </w:pPr>
      <w:r>
        <w:t xml:space="preserve">implement trading rules</w:t>
      </w:r>
    </w:p>
    <w:p>
      <w:pPr>
        <w:pStyle w:val="FirstParagraph"/>
      </w:pPr>
      <w:r>
        <w:t xml:space="preserve">User trading actions shall call explicit Application workflows.</w:t>
      </w:r>
    </w:p>
    <w:p>
      <w:r>
        <w:pict>
          <v:rect style="width:0;height:1.5pt" o:hralign="center" o:hrstd="t" o:hr="t"/>
        </w:pict>
      </w:r>
    </w:p>
    <w:bookmarkEnd w:id="60"/>
    <w:bookmarkStart w:id="61" w:name="monitoring-code"/>
    <w:p>
      <w:pPr>
        <w:pStyle w:val="Heading1"/>
      </w:pPr>
      <w:r>
        <w:t xml:space="preserve">Monitoring Code</w:t>
      </w:r>
    </w:p>
    <w:p>
      <w:pPr>
        <w:pStyle w:val="FirstParagraph"/>
      </w:pPr>
      <w:r>
        <w:t xml:space="preserve">Monitoring code observes technical and operational state.</w:t>
      </w:r>
    </w:p>
    <w:p>
      <w:pPr>
        <w:pStyle w:val="BodyText"/>
      </w:pPr>
      <w:r>
        <w:t xml:space="preserve">Monitoring code shall not:</w:t>
      </w:r>
    </w:p>
    <w:p>
      <w:pPr>
        <w:pStyle w:val="Compact"/>
        <w:numPr>
          <w:ilvl w:val="0"/>
          <w:numId w:val="1042"/>
        </w:numPr>
      </w:pPr>
      <w:r>
        <w:t xml:space="preserve">submit orders</w:t>
      </w:r>
    </w:p>
    <w:p>
      <w:pPr>
        <w:pStyle w:val="Compact"/>
        <w:numPr>
          <w:ilvl w:val="0"/>
          <w:numId w:val="1042"/>
        </w:numPr>
      </w:pPr>
      <w:r>
        <w:t xml:space="preserve">cancel orders</w:t>
      </w:r>
    </w:p>
    <w:p>
      <w:pPr>
        <w:pStyle w:val="Compact"/>
        <w:numPr>
          <w:ilvl w:val="0"/>
          <w:numId w:val="1042"/>
        </w:numPr>
      </w:pPr>
      <w:r>
        <w:t xml:space="preserve">reconnect brokers independently</w:t>
      </w:r>
    </w:p>
    <w:p>
      <w:pPr>
        <w:pStyle w:val="Compact"/>
        <w:numPr>
          <w:ilvl w:val="0"/>
          <w:numId w:val="1042"/>
        </w:numPr>
      </w:pPr>
      <w:r>
        <w:t xml:space="preserve">repair Domain state</w:t>
      </w:r>
    </w:p>
    <w:p>
      <w:pPr>
        <w:pStyle w:val="Compact"/>
        <w:numPr>
          <w:ilvl w:val="0"/>
          <w:numId w:val="1042"/>
        </w:numPr>
      </w:pPr>
      <w:r>
        <w:t xml:space="preserve">resolve reconciliation discrepancies</w:t>
      </w:r>
    </w:p>
    <w:p>
      <w:pPr>
        <w:pStyle w:val="FirstParagraph"/>
      </w:pPr>
      <w:r>
        <w:t xml:space="preserve">Recovery actions require explicit runtime or application ownership.</w:t>
      </w:r>
    </w:p>
    <w:p>
      <w:r>
        <w:pict>
          <v:rect style="width:0;height:1.5pt" o:hralign="center" o:hrstd="t" o:hr="t"/>
        </w:pict>
      </w:r>
    </w:p>
    <w:bookmarkEnd w:id="61"/>
    <w:bookmarkStart w:id="62" w:name="configuration-management"/>
    <w:p>
      <w:pPr>
        <w:pStyle w:val="Heading1"/>
      </w:pPr>
      <w:r>
        <w:t xml:space="preserve">Configuration Management</w:t>
      </w:r>
    </w:p>
    <w:p>
      <w:pPr>
        <w:pStyle w:val="FirstParagraph"/>
      </w:pPr>
      <w:r>
        <w:t xml:space="preserve">Configuration shall:</w:t>
      </w:r>
    </w:p>
    <w:p>
      <w:pPr>
        <w:pStyle w:val="Compact"/>
        <w:numPr>
          <w:ilvl w:val="0"/>
          <w:numId w:val="1043"/>
        </w:numPr>
      </w:pPr>
      <w:r>
        <w:t xml:space="preserve">be externalized</w:t>
      </w:r>
    </w:p>
    <w:p>
      <w:pPr>
        <w:pStyle w:val="Compact"/>
        <w:numPr>
          <w:ilvl w:val="0"/>
          <w:numId w:val="1043"/>
        </w:numPr>
      </w:pPr>
      <w:r>
        <w:t xml:space="preserve">be strongly typed</w:t>
      </w:r>
    </w:p>
    <w:p>
      <w:pPr>
        <w:pStyle w:val="Compact"/>
        <w:numPr>
          <w:ilvl w:val="0"/>
          <w:numId w:val="1043"/>
        </w:numPr>
      </w:pPr>
      <w:r>
        <w:t xml:space="preserve">be validated</w:t>
      </w:r>
    </w:p>
    <w:p>
      <w:pPr>
        <w:pStyle w:val="Compact"/>
        <w:numPr>
          <w:ilvl w:val="0"/>
          <w:numId w:val="1043"/>
        </w:numPr>
      </w:pPr>
      <w:r>
        <w:t xml:space="preserve">use deterministic precedence</w:t>
      </w:r>
    </w:p>
    <w:p>
      <w:pPr>
        <w:pStyle w:val="Compact"/>
        <w:numPr>
          <w:ilvl w:val="0"/>
          <w:numId w:val="1043"/>
        </w:numPr>
      </w:pPr>
      <w:r>
        <w:t xml:space="preserve">never contain secrets in source-controlled files</w:t>
      </w:r>
    </w:p>
    <w:p>
      <w:pPr>
        <w:pStyle w:val="FirstParagraph"/>
      </w:pPr>
      <w:r>
        <w:t xml:space="preserve">Configuration compatibility shall be evaluated based on real consumers.</w:t>
      </w:r>
    </w:p>
    <w:p>
      <w:pPr>
        <w:pStyle w:val="BodyText"/>
      </w:pPr>
      <w:r>
        <w:t xml:space="preserve">Do not preserve obsolete internal configuration solely for hypothetical backward compatibility.</w:t>
      </w:r>
    </w:p>
    <w:p>
      <w:pPr>
        <w:pStyle w:val="BodyText"/>
      </w:pPr>
      <w:r>
        <w:t xml:space="preserve">Unused configuration shall be removed.</w:t>
      </w:r>
    </w:p>
    <w:p>
      <w:r>
        <w:pict>
          <v:rect style="width:0;height:1.5pt" o:hralign="center" o:hrstd="t" o:hr="t"/>
        </w:pict>
      </w:r>
    </w:p>
    <w:bookmarkEnd w:id="62"/>
    <w:bookmarkStart w:id="63" w:name="security-standards"/>
    <w:p>
      <w:pPr>
        <w:pStyle w:val="Heading1"/>
      </w:pPr>
      <w:r>
        <w:t xml:space="preserve">Security Standards</w:t>
      </w:r>
    </w:p>
    <w:p>
      <w:pPr>
        <w:pStyle w:val="FirstParagraph"/>
      </w:pPr>
      <w:r>
        <w:t xml:space="preserve">Never commit:</w:t>
      </w:r>
    </w:p>
    <w:p>
      <w:pPr>
        <w:pStyle w:val="Compact"/>
        <w:numPr>
          <w:ilvl w:val="0"/>
          <w:numId w:val="1044"/>
        </w:numPr>
      </w:pPr>
      <w:r>
        <w:t xml:space="preserve">credentials</w:t>
      </w:r>
    </w:p>
    <w:p>
      <w:pPr>
        <w:pStyle w:val="Compact"/>
        <w:numPr>
          <w:ilvl w:val="0"/>
          <w:numId w:val="1044"/>
        </w:numPr>
      </w:pPr>
      <w:r>
        <w:t xml:space="preserve">secrets</w:t>
      </w:r>
    </w:p>
    <w:p>
      <w:pPr>
        <w:pStyle w:val="Compact"/>
        <w:numPr>
          <w:ilvl w:val="0"/>
          <w:numId w:val="1044"/>
        </w:numPr>
      </w:pPr>
      <w:r>
        <w:t xml:space="preserve">certificates</w:t>
      </w:r>
    </w:p>
    <w:p>
      <w:pPr>
        <w:pStyle w:val="Compact"/>
        <w:numPr>
          <w:ilvl w:val="0"/>
          <w:numId w:val="1044"/>
        </w:numPr>
      </w:pPr>
      <w:r>
        <w:t xml:space="preserve">private keys</w:t>
      </w:r>
    </w:p>
    <w:p>
      <w:pPr>
        <w:pStyle w:val="FirstParagraph"/>
      </w:pPr>
      <w:r>
        <w:t xml:space="preserve">Use approved environment variables, operating system credential storage or secret providers.</w:t>
      </w:r>
    </w:p>
    <w:p>
      <w:pPr>
        <w:pStyle w:val="BodyText"/>
      </w:pPr>
      <w:r>
        <w:t xml:space="preserve">Secret access shall remain explicit.</w:t>
      </w:r>
    </w:p>
    <w:p>
      <w:pPr>
        <w:pStyle w:val="BodyText"/>
      </w:pPr>
      <w:r>
        <w:t xml:space="preserve">Do not expose secrets through:</w:t>
      </w:r>
    </w:p>
    <w:p>
      <w:pPr>
        <w:pStyle w:val="Compact"/>
        <w:numPr>
          <w:ilvl w:val="0"/>
          <w:numId w:val="1045"/>
        </w:numPr>
      </w:pPr>
      <w:r>
        <w:t xml:space="preserve">logs</w:t>
      </w:r>
    </w:p>
    <w:p>
      <w:pPr>
        <w:pStyle w:val="Compact"/>
        <w:numPr>
          <w:ilvl w:val="0"/>
          <w:numId w:val="1045"/>
        </w:numPr>
      </w:pPr>
      <w:r>
        <w:t xml:space="preserve">exceptions</w:t>
      </w:r>
    </w:p>
    <w:p>
      <w:pPr>
        <w:pStyle w:val="Compact"/>
        <w:numPr>
          <w:ilvl w:val="0"/>
          <w:numId w:val="1045"/>
        </w:numPr>
      </w:pPr>
      <w:r>
        <w:t xml:space="preserve">UI diagnostics</w:t>
      </w:r>
    </w:p>
    <w:p>
      <w:pPr>
        <w:pStyle w:val="Compact"/>
        <w:numPr>
          <w:ilvl w:val="0"/>
          <w:numId w:val="1045"/>
        </w:numPr>
      </w:pPr>
      <w:r>
        <w:t xml:space="preserve">generated documentation</w:t>
      </w:r>
    </w:p>
    <w:p>
      <w:r>
        <w:pict>
          <v:rect style="width:0;height:1.5pt" o:hralign="center" o:hrstd="t" o:hr="t"/>
        </w:pict>
      </w:r>
    </w:p>
    <w:bookmarkEnd w:id="63"/>
    <w:bookmarkStart w:id="64" w:name="documentation-standards"/>
    <w:p>
      <w:pPr>
        <w:pStyle w:val="Heading1"/>
      </w:pPr>
      <w:r>
        <w:t xml:space="preserve">Documentation Standards</w:t>
      </w:r>
    </w:p>
    <w:p>
      <w:pPr>
        <w:pStyle w:val="FirstParagraph"/>
      </w:pPr>
      <w:r>
        <w:t xml:space="preserve">Documentation shall remain synchronized with implementation.</w:t>
      </w:r>
    </w:p>
    <w:p>
      <w:pPr>
        <w:pStyle w:val="BodyText"/>
      </w:pPr>
      <w:r>
        <w:t xml:space="preserve">Markdown under:</w:t>
      </w:r>
    </w:p>
    <w:p>
      <w:pPr>
        <w:pStyle w:val="SourceCode"/>
      </w:pPr>
      <w:r>
        <w:rPr>
          <w:rStyle w:val="VerbatimChar"/>
        </w:rPr>
        <w:t xml:space="preserve">docs/</w:t>
      </w:r>
    </w:p>
    <w:p>
      <w:pPr>
        <w:pStyle w:val="FirstParagraph"/>
      </w:pPr>
      <w:r>
        <w:t xml:space="preserve">is the documentation source of truth.</w:t>
      </w:r>
    </w:p>
    <w:p>
      <w:pPr>
        <w:pStyle w:val="BodyText"/>
      </w:pPr>
      <w:r>
        <w:t xml:space="preserve">Generated DOCX and PDF files are derived artifacts.</w:t>
      </w:r>
    </w:p>
    <w:p>
      <w:pPr>
        <w:pStyle w:val="BodyText"/>
      </w:pPr>
      <w:r>
        <w:t xml:space="preserve">Generated documentation shall not be edited manually.</w:t>
      </w:r>
    </w:p>
    <w:p>
      <w:pPr>
        <w:pStyle w:val="BodyText"/>
      </w:pPr>
      <w:r>
        <w:t xml:space="preserve">Code changes affecting documented contracts shall update the relevant Markdown source.</w:t>
      </w:r>
    </w:p>
    <w:p>
      <w:r>
        <w:pict>
          <v:rect style="width:0;height:1.5pt" o:hralign="center" o:hrstd="t" o:hr="t"/>
        </w:pict>
      </w:r>
    </w:p>
    <w:bookmarkEnd w:id="64"/>
    <w:bookmarkStart w:id="65" w:name="testing"/>
    <w:p>
      <w:pPr>
        <w:pStyle w:val="Heading1"/>
      </w:pPr>
      <w:r>
        <w:t xml:space="preserve">Testing</w:t>
      </w:r>
    </w:p>
    <w:p>
      <w:pPr>
        <w:pStyle w:val="FirstParagraph"/>
      </w:pPr>
      <w:r>
        <w:t xml:space="preserve">Every new feature should include appropriate tests.</w:t>
      </w:r>
    </w:p>
    <w:p>
      <w:pPr>
        <w:pStyle w:val="BodyText"/>
      </w:pPr>
      <w:r>
        <w:t xml:space="preserve">Bug fixes should include regression tests whenever practical.</w:t>
      </w:r>
    </w:p>
    <w:p>
      <w:pPr>
        <w:pStyle w:val="BodyText"/>
      </w:pPr>
      <w:r>
        <w:t xml:space="preserve">Trading-critical code requires scenario-focused regression tests.</w:t>
      </w:r>
    </w:p>
    <w:p>
      <w:pPr>
        <w:pStyle w:val="BodyText"/>
      </w:pPr>
      <w:r>
        <w:t xml:space="preserve">Tests shall verify where relevant:</w:t>
      </w:r>
    </w:p>
    <w:p>
      <w:pPr>
        <w:pStyle w:val="Compact"/>
        <w:numPr>
          <w:ilvl w:val="0"/>
          <w:numId w:val="1046"/>
        </w:numPr>
      </w:pPr>
      <w:r>
        <w:t xml:space="preserve">state transitions</w:t>
      </w:r>
    </w:p>
    <w:p>
      <w:pPr>
        <w:pStyle w:val="Compact"/>
        <w:numPr>
          <w:ilvl w:val="0"/>
          <w:numId w:val="1046"/>
        </w:numPr>
      </w:pPr>
      <w:r>
        <w:t xml:space="preserve">unavailable data</w:t>
      </w:r>
    </w:p>
    <w:p>
      <w:pPr>
        <w:pStyle w:val="Compact"/>
        <w:numPr>
          <w:ilvl w:val="0"/>
          <w:numId w:val="1046"/>
        </w:numPr>
      </w:pPr>
      <w:r>
        <w:t xml:space="preserve">timeout behaviour</w:t>
      </w:r>
    </w:p>
    <w:p>
      <w:pPr>
        <w:pStyle w:val="Compact"/>
        <w:numPr>
          <w:ilvl w:val="0"/>
          <w:numId w:val="1046"/>
        </w:numPr>
      </w:pPr>
      <w:r>
        <w:t xml:space="preserve">cancellation</w:t>
      </w:r>
    </w:p>
    <w:p>
      <w:pPr>
        <w:pStyle w:val="Compact"/>
        <w:numPr>
          <w:ilvl w:val="0"/>
          <w:numId w:val="1046"/>
        </w:numPr>
      </w:pPr>
      <w:r>
        <w:t xml:space="preserve">duplicate submission protection</w:t>
      </w:r>
    </w:p>
    <w:p>
      <w:pPr>
        <w:pStyle w:val="Compact"/>
        <w:numPr>
          <w:ilvl w:val="0"/>
          <w:numId w:val="1046"/>
        </w:numPr>
      </w:pPr>
      <w:r>
        <w:t xml:space="preserve">provider translation</w:t>
      </w:r>
    </w:p>
    <w:p>
      <w:pPr>
        <w:pStyle w:val="Compact"/>
        <w:numPr>
          <w:ilvl w:val="0"/>
          <w:numId w:val="1046"/>
        </w:numPr>
      </w:pPr>
      <w:r>
        <w:t xml:space="preserve">PAPER and LIVE separation</w:t>
      </w:r>
    </w:p>
    <w:p>
      <w:pPr>
        <w:pStyle w:val="Compact"/>
        <w:numPr>
          <w:ilvl w:val="0"/>
          <w:numId w:val="1046"/>
        </w:numPr>
      </w:pPr>
      <w:r>
        <w:t xml:space="preserve">reconciliation behaviour</w:t>
      </w:r>
    </w:p>
    <w:p>
      <w:pPr>
        <w:pStyle w:val="FirstParagraph"/>
      </w:pPr>
      <w:r>
        <w:t xml:space="preserve">Tests shall not require LIVE trading.</w:t>
      </w:r>
    </w:p>
    <w:p>
      <w:r>
        <w:pict>
          <v:rect style="width:0;height:1.5pt" o:hralign="center" o:hrstd="t" o:hr="t"/>
        </w:pict>
      </w:r>
    </w:p>
    <w:bookmarkEnd w:id="65"/>
    <w:bookmarkStart w:id="66" w:name="deterministic-tests"/>
    <w:p>
      <w:pPr>
        <w:pStyle w:val="Heading1"/>
      </w:pPr>
      <w:r>
        <w:t xml:space="preserve">Deterministic Tests</w:t>
      </w:r>
    </w:p>
    <w:p>
      <w:pPr>
        <w:pStyle w:val="FirstParagraph"/>
      </w:pPr>
      <w:r>
        <w:t xml:space="preserve">Tests shall avoid uncontrolled dependencies on:</w:t>
      </w:r>
    </w:p>
    <w:p>
      <w:pPr>
        <w:pStyle w:val="Compact"/>
        <w:numPr>
          <w:ilvl w:val="0"/>
          <w:numId w:val="1047"/>
        </w:numPr>
      </w:pPr>
      <w:r>
        <w:t xml:space="preserve">wall-clock time</w:t>
      </w:r>
    </w:p>
    <w:p>
      <w:pPr>
        <w:pStyle w:val="Compact"/>
        <w:numPr>
          <w:ilvl w:val="0"/>
          <w:numId w:val="1047"/>
        </w:numPr>
      </w:pPr>
      <w:r>
        <w:t xml:space="preserve">network state</w:t>
      </w:r>
    </w:p>
    <w:p>
      <w:pPr>
        <w:pStyle w:val="Compact"/>
        <w:numPr>
          <w:ilvl w:val="0"/>
          <w:numId w:val="1047"/>
        </w:numPr>
      </w:pPr>
      <w:r>
        <w:t xml:space="preserve">LIVE broker services</w:t>
      </w:r>
    </w:p>
    <w:p>
      <w:pPr>
        <w:pStyle w:val="Compact"/>
        <w:numPr>
          <w:ilvl w:val="0"/>
          <w:numId w:val="1047"/>
        </w:numPr>
      </w:pPr>
      <w:r>
        <w:t xml:space="preserve">random data</w:t>
      </w:r>
    </w:p>
    <w:p>
      <w:pPr>
        <w:pStyle w:val="Compact"/>
        <w:numPr>
          <w:ilvl w:val="0"/>
          <w:numId w:val="1047"/>
        </w:numPr>
      </w:pPr>
      <w:r>
        <w:t xml:space="preserve">developer-local configuration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48"/>
        </w:numPr>
      </w:pPr>
      <w:r>
        <w:t xml:space="preserve">controlled clocks</w:t>
      </w:r>
    </w:p>
    <w:p>
      <w:pPr>
        <w:pStyle w:val="Compact"/>
        <w:numPr>
          <w:ilvl w:val="0"/>
          <w:numId w:val="1048"/>
        </w:numPr>
      </w:pPr>
      <w:r>
        <w:t xml:space="preserve">fake adapters</w:t>
      </w:r>
    </w:p>
    <w:p>
      <w:pPr>
        <w:pStyle w:val="Compact"/>
        <w:numPr>
          <w:ilvl w:val="0"/>
          <w:numId w:val="1048"/>
        </w:numPr>
      </w:pPr>
      <w:r>
        <w:t xml:space="preserve">deterministic fixtures</w:t>
      </w:r>
    </w:p>
    <w:p>
      <w:pPr>
        <w:pStyle w:val="Compact"/>
        <w:numPr>
          <w:ilvl w:val="0"/>
          <w:numId w:val="1048"/>
        </w:numPr>
      </w:pPr>
      <w:r>
        <w:t xml:space="preserve">explicit test configuration</w:t>
      </w:r>
    </w:p>
    <w:p>
      <w:pPr>
        <w:pStyle w:val="FirstParagraph"/>
      </w:pPr>
      <w:r>
        <w:t xml:space="preserve">when required.</w:t>
      </w:r>
    </w:p>
    <w:p>
      <w:r>
        <w:pict>
          <v:rect style="width:0;height:1.5pt" o:hralign="center" o:hrstd="t" o:hr="t"/>
        </w:pict>
      </w:r>
    </w:p>
    <w:bookmarkEnd w:id="66"/>
    <w:bookmarkStart w:id="67" w:name="performance-guidelines"/>
    <w:p>
      <w:pPr>
        <w:pStyle w:val="Heading1"/>
      </w:pPr>
      <w:r>
        <w:t xml:space="preserve">Performance Guidelines</w:t>
      </w:r>
    </w:p>
    <w:p>
      <w:pPr>
        <w:pStyle w:val="FirstParagraph"/>
      </w:pPr>
      <w:r>
        <w:t xml:space="preserve">Optimize only after measurement.</w:t>
      </w:r>
    </w:p>
    <w:p>
      <w:pPr>
        <w:pStyle w:val="BodyText"/>
      </w:pPr>
      <w:r>
        <w:t xml:space="preserve">Prefer:</w:t>
      </w:r>
    </w:p>
    <w:p>
      <w:pPr>
        <w:pStyle w:val="Compact"/>
        <w:numPr>
          <w:ilvl w:val="0"/>
          <w:numId w:val="1049"/>
        </w:numPr>
      </w:pPr>
      <w:r>
        <w:t xml:space="preserve">simple algorithms</w:t>
      </w:r>
    </w:p>
    <w:p>
      <w:pPr>
        <w:pStyle w:val="Compact"/>
        <w:numPr>
          <w:ilvl w:val="0"/>
          <w:numId w:val="1049"/>
        </w:numPr>
      </w:pPr>
      <w:r>
        <w:t xml:space="preserve">readable code</w:t>
      </w:r>
    </w:p>
    <w:p>
      <w:pPr>
        <w:pStyle w:val="Compact"/>
        <w:numPr>
          <w:ilvl w:val="0"/>
          <w:numId w:val="1049"/>
        </w:numPr>
      </w:pPr>
      <w:r>
        <w:t xml:space="preserve">predictable performance</w:t>
      </w:r>
    </w:p>
    <w:p>
      <w:pPr>
        <w:pStyle w:val="FirstParagraph"/>
      </w:pPr>
      <w:r>
        <w:t xml:space="preserve">Avoid premature optimization.</w:t>
      </w:r>
    </w:p>
    <w:p>
      <w:pPr>
        <w:pStyle w:val="BodyText"/>
      </w:pPr>
      <w:r>
        <w:t xml:space="preserve">Trading Cockpit performance-sensitive areas may include:</w:t>
      </w:r>
    </w:p>
    <w:p>
      <w:pPr>
        <w:pStyle w:val="Compact"/>
        <w:numPr>
          <w:ilvl w:val="0"/>
          <w:numId w:val="1050"/>
        </w:numPr>
      </w:pPr>
      <w:r>
        <w:t xml:space="preserve">UI responsiveness</w:t>
      </w:r>
    </w:p>
    <w:p>
      <w:pPr>
        <w:pStyle w:val="Compact"/>
        <w:numPr>
          <w:ilvl w:val="0"/>
          <w:numId w:val="1050"/>
        </w:numPr>
      </w:pPr>
      <w:r>
        <w:t xml:space="preserve">AsyncIO event loop latency</w:t>
      </w:r>
    </w:p>
    <w:p>
      <w:pPr>
        <w:pStyle w:val="Compact"/>
        <w:numPr>
          <w:ilvl w:val="0"/>
          <w:numId w:val="1050"/>
        </w:numPr>
      </w:pPr>
      <w:r>
        <w:t xml:space="preserve">market data update paths</w:t>
      </w:r>
    </w:p>
    <w:p>
      <w:pPr>
        <w:pStyle w:val="Compact"/>
        <w:numPr>
          <w:ilvl w:val="0"/>
          <w:numId w:val="1050"/>
        </w:numPr>
      </w:pPr>
      <w:r>
        <w:t xml:space="preserve">structured logging volume</w:t>
      </w:r>
    </w:p>
    <w:p>
      <w:pPr>
        <w:pStyle w:val="FirstParagraph"/>
      </w:pPr>
      <w:r>
        <w:t xml:space="preserve">Performance optimization shall not weaken business correctness.</w:t>
      </w:r>
    </w:p>
    <w:p>
      <w:r>
        <w:pict>
          <v:rect style="width:0;height:1.5pt" o:hralign="center" o:hrstd="t" o:hr="t"/>
        </w:pict>
      </w:r>
    </w:p>
    <w:bookmarkEnd w:id="67"/>
    <w:bookmarkStart w:id="68" w:name="code-smells"/>
    <w:p>
      <w:pPr>
        <w:pStyle w:val="Heading1"/>
      </w:pPr>
      <w:r>
        <w:t xml:space="preserve">Code Smells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51"/>
        </w:numPr>
      </w:pPr>
      <w:r>
        <w:t xml:space="preserve">duplicated code</w:t>
      </w:r>
    </w:p>
    <w:p>
      <w:pPr>
        <w:pStyle w:val="Compact"/>
        <w:numPr>
          <w:ilvl w:val="0"/>
          <w:numId w:val="1051"/>
        </w:numPr>
      </w:pPr>
      <w:r>
        <w:t xml:space="preserve">long methods</w:t>
      </w:r>
    </w:p>
    <w:p>
      <w:pPr>
        <w:pStyle w:val="Compact"/>
        <w:numPr>
          <w:ilvl w:val="0"/>
          <w:numId w:val="1051"/>
        </w:numPr>
      </w:pPr>
      <w:r>
        <w:t xml:space="preserve">deep nesting</w:t>
      </w:r>
    </w:p>
    <w:p>
      <w:pPr>
        <w:pStyle w:val="Compact"/>
        <w:numPr>
          <w:ilvl w:val="0"/>
          <w:numId w:val="1051"/>
        </w:numPr>
      </w:pPr>
      <w:r>
        <w:t xml:space="preserve">hidden side effects</w:t>
      </w:r>
    </w:p>
    <w:p>
      <w:pPr>
        <w:pStyle w:val="Compact"/>
        <w:numPr>
          <w:ilvl w:val="0"/>
          <w:numId w:val="1051"/>
        </w:numPr>
      </w:pPr>
      <w:r>
        <w:t xml:space="preserve">large classes</w:t>
      </w:r>
    </w:p>
    <w:p>
      <w:pPr>
        <w:pStyle w:val="Compact"/>
        <w:numPr>
          <w:ilvl w:val="0"/>
          <w:numId w:val="1051"/>
        </w:numPr>
      </w:pPr>
      <w:r>
        <w:t xml:space="preserve">magic numbers</w:t>
      </w:r>
    </w:p>
    <w:p>
      <w:pPr>
        <w:pStyle w:val="Compact"/>
        <w:numPr>
          <w:ilvl w:val="0"/>
          <w:numId w:val="1051"/>
        </w:numPr>
      </w:pPr>
      <w:r>
        <w:t xml:space="preserve">unused code</w:t>
      </w:r>
    </w:p>
    <w:p>
      <w:pPr>
        <w:pStyle w:val="Compact"/>
        <w:numPr>
          <w:ilvl w:val="0"/>
          <w:numId w:val="1051"/>
        </w:numPr>
      </w:pPr>
      <w:r>
        <w:t xml:space="preserve">generic dictionaries as stable contracts</w:t>
      </w:r>
    </w:p>
    <w:p>
      <w:pPr>
        <w:pStyle w:val="Compact"/>
        <w:numPr>
          <w:ilvl w:val="0"/>
          <w:numId w:val="1051"/>
        </w:numPr>
      </w:pPr>
      <w:r>
        <w:t xml:space="preserve">provider models outside Infrastructure</w:t>
      </w:r>
    </w:p>
    <w:p>
      <w:pPr>
        <w:pStyle w:val="Compact"/>
        <w:numPr>
          <w:ilvl w:val="0"/>
          <w:numId w:val="1051"/>
        </w:numPr>
      </w:pPr>
      <w:r>
        <w:t xml:space="preserve">persistence models outside Infrastructure</w:t>
      </w:r>
    </w:p>
    <w:p>
      <w:pPr>
        <w:pStyle w:val="Compact"/>
        <w:numPr>
          <w:ilvl w:val="0"/>
          <w:numId w:val="1051"/>
        </w:numPr>
      </w:pPr>
      <w:r>
        <w:t xml:space="preserve">unmanaged background tasks</w:t>
      </w:r>
    </w:p>
    <w:p>
      <w:pPr>
        <w:pStyle w:val="Compact"/>
        <w:numPr>
          <w:ilvl w:val="0"/>
          <w:numId w:val="1051"/>
        </w:numPr>
      </w:pPr>
      <w:r>
        <w:t xml:space="preserve">broad exception swallowing</w:t>
      </w:r>
    </w:p>
    <w:p>
      <w:pPr>
        <w:pStyle w:val="Compact"/>
        <w:numPr>
          <w:ilvl w:val="0"/>
          <w:numId w:val="1051"/>
        </w:numPr>
      </w:pPr>
      <w:r>
        <w:t xml:space="preserve">generic retry around order submission</w:t>
      </w:r>
    </w:p>
    <w:p>
      <w:pPr>
        <w:pStyle w:val="Compact"/>
        <w:numPr>
          <w:ilvl w:val="0"/>
          <w:numId w:val="1051"/>
        </w:numPr>
      </w:pPr>
      <w:r>
        <w:t xml:space="preserve">boolean state representing complex lifecycle</w:t>
      </w:r>
    </w:p>
    <w:p>
      <w:pPr>
        <w:pStyle w:val="Compact"/>
        <w:numPr>
          <w:ilvl w:val="0"/>
          <w:numId w:val="1051"/>
        </w:numPr>
      </w:pPr>
      <w:r>
        <w:t xml:space="preserve">silent conversion of unavailable financial data to zero</w:t>
      </w:r>
    </w:p>
    <w:p>
      <w:r>
        <w:pict>
          <v:rect style="width:0;height:1.5pt" o:hralign="center" o:hrstd="t" o:hr="t"/>
        </w:pict>
      </w:r>
    </w:p>
    <w:bookmarkEnd w:id="68"/>
    <w:bookmarkStart w:id="69" w:name="code-review-checklist"/>
    <w:p>
      <w:pPr>
        <w:pStyle w:val="Heading1"/>
      </w:pPr>
      <w:r>
        <w:t xml:space="preserve">Code Review Checklist</w:t>
      </w:r>
    </w:p>
    <w:p>
      <w:pPr>
        <w:pStyle w:val="FirstParagraph"/>
      </w:pPr>
      <w:r>
        <w:t xml:space="preserve">Before approving code verify:</w:t>
      </w:r>
    </w:p>
    <w:p>
      <w:pPr>
        <w:pStyle w:val="Compact"/>
        <w:numPr>
          <w:ilvl w:val="0"/>
          <w:numId w:val="1052"/>
        </w:numPr>
      </w:pPr>
      <w:r>
        <w:t xml:space="preserve">responsibility is clear</w:t>
      </w:r>
    </w:p>
    <w:p>
      <w:pPr>
        <w:pStyle w:val="Compact"/>
        <w:numPr>
          <w:ilvl w:val="0"/>
          <w:numId w:val="1052"/>
        </w:numPr>
      </w:pPr>
      <w:r>
        <w:t xml:space="preserve">naming is explicit</w:t>
      </w:r>
    </w:p>
    <w:p>
      <w:pPr>
        <w:pStyle w:val="Compact"/>
        <w:numPr>
          <w:ilvl w:val="0"/>
          <w:numId w:val="1052"/>
        </w:numPr>
      </w:pPr>
      <w:r>
        <w:t xml:space="preserve">typing is complete</w:t>
      </w:r>
    </w:p>
    <w:p>
      <w:pPr>
        <w:pStyle w:val="Compact"/>
        <w:numPr>
          <w:ilvl w:val="0"/>
          <w:numId w:val="1052"/>
        </w:numPr>
      </w:pPr>
      <w:r>
        <w:t xml:space="preserve">architecture boundaries are preserved</w:t>
      </w:r>
    </w:p>
    <w:p>
      <w:pPr>
        <w:pStyle w:val="Compact"/>
        <w:numPr>
          <w:ilvl w:val="0"/>
          <w:numId w:val="1052"/>
        </w:numPr>
      </w:pPr>
      <w:r>
        <w:t xml:space="preserve">Domain types remain technology-independent</w:t>
      </w:r>
    </w:p>
    <w:p>
      <w:pPr>
        <w:pStyle w:val="Compact"/>
        <w:numPr>
          <w:ilvl w:val="0"/>
          <w:numId w:val="1052"/>
        </w:numPr>
      </w:pPr>
      <w:r>
        <w:t xml:space="preserve">provider models remain in Infrastructure</w:t>
      </w:r>
    </w:p>
    <w:p>
      <w:pPr>
        <w:pStyle w:val="Compact"/>
        <w:numPr>
          <w:ilvl w:val="0"/>
          <w:numId w:val="1052"/>
        </w:numPr>
      </w:pPr>
      <w:r>
        <w:t xml:space="preserve">persistence models remain in Infrastructure</w:t>
      </w:r>
    </w:p>
    <w:p>
      <w:pPr>
        <w:pStyle w:val="Compact"/>
        <w:numPr>
          <w:ilvl w:val="0"/>
          <w:numId w:val="1052"/>
        </w:numPr>
      </w:pPr>
      <w:r>
        <w:t xml:space="preserve">side effects are explicit</w:t>
      </w:r>
    </w:p>
    <w:p>
      <w:pPr>
        <w:pStyle w:val="Compact"/>
        <w:numPr>
          <w:ilvl w:val="0"/>
          <w:numId w:val="1052"/>
        </w:numPr>
      </w:pPr>
      <w:r>
        <w:t xml:space="preserve">state transitions are deterministic</w:t>
      </w:r>
    </w:p>
    <w:p>
      <w:pPr>
        <w:pStyle w:val="Compact"/>
        <w:numPr>
          <w:ilvl w:val="0"/>
          <w:numId w:val="1052"/>
        </w:numPr>
      </w:pPr>
      <w:r>
        <w:t xml:space="preserve">unavailable financial data remains explicit</w:t>
      </w:r>
    </w:p>
    <w:p>
      <w:pPr>
        <w:pStyle w:val="Compact"/>
        <w:numPr>
          <w:ilvl w:val="0"/>
          <w:numId w:val="1052"/>
        </w:numPr>
      </w:pPr>
      <w:r>
        <w:t xml:space="preserve">timestamp semantics are clear</w:t>
      </w:r>
    </w:p>
    <w:p>
      <w:pPr>
        <w:pStyle w:val="Compact"/>
        <w:numPr>
          <w:ilvl w:val="0"/>
          <w:numId w:val="1052"/>
        </w:numPr>
      </w:pPr>
      <w:r>
        <w:t xml:space="preserve">async code does not block the event loop</w:t>
      </w:r>
    </w:p>
    <w:p>
      <w:pPr>
        <w:pStyle w:val="Compact"/>
        <w:numPr>
          <w:ilvl w:val="0"/>
          <w:numId w:val="1052"/>
        </w:numPr>
      </w:pPr>
      <w:r>
        <w:t xml:space="preserve">long-running tasks have ownership</w:t>
      </w:r>
    </w:p>
    <w:p>
      <w:pPr>
        <w:pStyle w:val="Compact"/>
        <w:numPr>
          <w:ilvl w:val="0"/>
          <w:numId w:val="1052"/>
        </w:numPr>
      </w:pPr>
      <w:r>
        <w:t xml:space="preserve">cancellation is handled</w:t>
      </w:r>
    </w:p>
    <w:p>
      <w:pPr>
        <w:pStyle w:val="Compact"/>
        <w:numPr>
          <w:ilvl w:val="0"/>
          <w:numId w:val="1052"/>
        </w:numPr>
      </w:pPr>
      <w:r>
        <w:t xml:space="preserve">timeout behaviour is explicit</w:t>
      </w:r>
    </w:p>
    <w:p>
      <w:pPr>
        <w:pStyle w:val="Compact"/>
        <w:numPr>
          <w:ilvl w:val="0"/>
          <w:numId w:val="1052"/>
        </w:numPr>
      </w:pPr>
      <w:r>
        <w:t xml:space="preserve">order submission lifecycle remains precise</w:t>
      </w:r>
    </w:p>
    <w:p>
      <w:pPr>
        <w:pStyle w:val="Compact"/>
        <w:numPr>
          <w:ilvl w:val="0"/>
          <w:numId w:val="1052"/>
        </w:numPr>
      </w:pPr>
      <w:r>
        <w:t xml:space="preserve">duplicate submission risk is evaluated</w:t>
      </w:r>
    </w:p>
    <w:p>
      <w:pPr>
        <w:pStyle w:val="Compact"/>
        <w:numPr>
          <w:ilvl w:val="0"/>
          <w:numId w:val="1052"/>
        </w:numPr>
      </w:pPr>
      <w:r>
        <w:t xml:space="preserve">retry behaviour is explicit</w:t>
      </w:r>
    </w:p>
    <w:p>
      <w:pPr>
        <w:pStyle w:val="Compact"/>
        <w:numPr>
          <w:ilvl w:val="0"/>
          <w:numId w:val="1052"/>
        </w:numPr>
      </w:pPr>
      <w:r>
        <w:t xml:space="preserve">PAPER and LIVE impact is evaluated</w:t>
      </w:r>
    </w:p>
    <w:p>
      <w:pPr>
        <w:pStyle w:val="Compact"/>
        <w:numPr>
          <w:ilvl w:val="0"/>
          <w:numId w:val="1052"/>
        </w:numPr>
      </w:pPr>
      <w:r>
        <w:t xml:space="preserve">sensitive data is protected</w:t>
      </w:r>
    </w:p>
    <w:p>
      <w:pPr>
        <w:pStyle w:val="Compact"/>
        <w:numPr>
          <w:ilvl w:val="0"/>
          <w:numId w:val="1052"/>
        </w:numPr>
      </w:pPr>
      <w:r>
        <w:t xml:space="preserve">tests are sufficient</w:t>
      </w:r>
    </w:p>
    <w:p>
      <w:pPr>
        <w:pStyle w:val="Compact"/>
        <w:numPr>
          <w:ilvl w:val="0"/>
          <w:numId w:val="1052"/>
        </w:numPr>
      </w:pPr>
      <w:r>
        <w:t xml:space="preserve">documentation is synchronized</w:t>
      </w:r>
    </w:p>
    <w:p>
      <w:r>
        <w:pict>
          <v:rect style="width:0;height:1.5pt" o:hralign="center" o:hrstd="t" o:hr="t"/>
        </w:pict>
      </w:r>
    </w:p>
    <w:bookmarkEnd w:id="69"/>
    <w:bookmarkStart w:id="70" w:name="related-documents"/>
    <w:p>
      <w:pPr>
        <w:pStyle w:val="Heading1"/>
      </w:pPr>
      <w:r>
        <w:t xml:space="preserve">Related Documents</w:t>
      </w:r>
    </w:p>
    <w:p>
      <w:pPr>
        <w:pStyle w:val="Compact"/>
        <w:numPr>
          <w:ilvl w:val="0"/>
          <w:numId w:val="1053"/>
        </w:numPr>
      </w:pPr>
      <w:r>
        <w:t xml:space="preserve">Product_Vision.md</w:t>
      </w:r>
    </w:p>
    <w:p>
      <w:pPr>
        <w:pStyle w:val="Compact"/>
        <w:numPr>
          <w:ilvl w:val="0"/>
          <w:numId w:val="1053"/>
        </w:numPr>
      </w:pPr>
      <w:r>
        <w:t xml:space="preserve">Product_Roadmap.md</w:t>
      </w:r>
    </w:p>
    <w:p>
      <w:pPr>
        <w:pStyle w:val="Compact"/>
        <w:numPr>
          <w:ilvl w:val="0"/>
          <w:numId w:val="1053"/>
        </w:numPr>
      </w:pPr>
      <w:r>
        <w:t xml:space="preserve">Project_Overview.md</w:t>
      </w:r>
    </w:p>
    <w:p>
      <w:pPr>
        <w:pStyle w:val="Compact"/>
        <w:numPr>
          <w:ilvl w:val="0"/>
          <w:numId w:val="1053"/>
        </w:numPr>
      </w:pPr>
      <w:r>
        <w:t xml:space="preserve">Architecture.md</w:t>
      </w:r>
    </w:p>
    <w:p>
      <w:pPr>
        <w:pStyle w:val="Compact"/>
        <w:numPr>
          <w:ilvl w:val="0"/>
          <w:numId w:val="1053"/>
        </w:numPr>
      </w:pPr>
      <w:r>
        <w:t xml:space="preserve">Domain_Model.md</w:t>
      </w:r>
    </w:p>
    <w:p>
      <w:pPr>
        <w:pStyle w:val="Compact"/>
        <w:numPr>
          <w:ilvl w:val="0"/>
          <w:numId w:val="1053"/>
        </w:numPr>
      </w:pPr>
      <w:r>
        <w:t xml:space="preserve">Infrastructure.md</w:t>
      </w:r>
    </w:p>
    <w:p>
      <w:pPr>
        <w:pStyle w:val="Compact"/>
        <w:numPr>
          <w:ilvl w:val="0"/>
          <w:numId w:val="1053"/>
        </w:numPr>
      </w:pPr>
      <w:r>
        <w:t xml:space="preserve">Technical_Specifications.md</w:t>
      </w:r>
    </w:p>
    <w:p>
      <w:pPr>
        <w:pStyle w:val="Compact"/>
        <w:numPr>
          <w:ilvl w:val="0"/>
          <w:numId w:val="1053"/>
        </w:numPr>
      </w:pPr>
      <w:r>
        <w:t xml:space="preserve">API_Guidelines.md</w:t>
      </w:r>
    </w:p>
    <w:p>
      <w:pPr>
        <w:pStyle w:val="Compact"/>
        <w:numPr>
          <w:ilvl w:val="0"/>
          <w:numId w:val="1053"/>
        </w:numPr>
      </w:pPr>
      <w:r>
        <w:t xml:space="preserve">Configuration.md</w:t>
      </w:r>
    </w:p>
    <w:p>
      <w:pPr>
        <w:pStyle w:val="Compact"/>
        <w:numPr>
          <w:ilvl w:val="0"/>
          <w:numId w:val="1053"/>
        </w:numPr>
      </w:pPr>
      <w:r>
        <w:t xml:space="preserve">Runtime.md</w:t>
      </w:r>
    </w:p>
    <w:p>
      <w:pPr>
        <w:pStyle w:val="Compact"/>
        <w:numPr>
          <w:ilvl w:val="0"/>
          <w:numId w:val="1053"/>
        </w:numPr>
      </w:pPr>
      <w:r>
        <w:t xml:space="preserve">Logging.md</w:t>
      </w:r>
    </w:p>
    <w:p>
      <w:pPr>
        <w:pStyle w:val="Compact"/>
        <w:numPr>
          <w:ilvl w:val="0"/>
          <w:numId w:val="1053"/>
        </w:numPr>
      </w:pPr>
      <w:r>
        <w:t xml:space="preserve">Monitoring.md</w:t>
      </w:r>
    </w:p>
    <w:p>
      <w:pPr>
        <w:pStyle w:val="Compact"/>
        <w:numPr>
          <w:ilvl w:val="0"/>
          <w:numId w:val="1053"/>
        </w:numPr>
      </w:pPr>
      <w:r>
        <w:t xml:space="preserve">CI_CD.md</w:t>
      </w:r>
    </w:p>
    <w:p>
      <w:pPr>
        <w:pStyle w:val="Compact"/>
        <w:numPr>
          <w:ilvl w:val="0"/>
          <w:numId w:val="1053"/>
        </w:numPr>
      </w:pPr>
      <w:r>
        <w:t xml:space="preserve">Development_Guidelines.md</w:t>
      </w:r>
    </w:p>
    <w:p>
      <w:pPr>
        <w:pStyle w:val="Compact"/>
        <w:numPr>
          <w:ilvl w:val="0"/>
          <w:numId w:val="1053"/>
        </w:numPr>
      </w:pPr>
      <w:r>
        <w:t xml:space="preserve">Testing_Strategy.md</w:t>
      </w:r>
    </w:p>
    <w:p>
      <w:pPr>
        <w:pStyle w:val="Compact"/>
        <w:numPr>
          <w:ilvl w:val="0"/>
          <w:numId w:val="1053"/>
        </w:numPr>
      </w:pPr>
      <w:r>
        <w:t xml:space="preserve">AGENTS.md</w:t>
      </w:r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2026-07-06T17:14:00Z</dcterms:created>
  <dcterms:modified xsi:type="dcterms:W3CDTF">2026-07-06T17:14:00Z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