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roduct-roadmap"/>
    <w:p>
      <w:pPr>
        <w:pStyle w:val="Heading1"/>
      </w:pPr>
      <w:r>
        <w:t xml:space="preserve">Product Roadmap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roadmap defines the product evolution of Trading Platform Pro.</w:t>
      </w:r>
    </w:p>
    <w:p>
      <w:pPr>
        <w:pStyle w:val="BodyText"/>
      </w:pPr>
      <w:r>
        <w:t xml:space="preserve">The primary product is the Trading Cockpit.</w:t>
      </w:r>
    </w:p>
    <w:p>
      <w:pPr>
        <w:pStyle w:val="BodyText"/>
      </w:pPr>
      <w:r>
        <w:t xml:space="preserve">Development shall follow concrete trading workflows and measurable user value rather than building platform capabilities without an identified product requirement.</w:t>
      </w:r>
    </w:p>
    <w:p>
      <w:r>
        <w:pict>
          <v:rect style="width:0;height:1.5pt" o:hralign="center" o:hrstd="t" o:hr="t"/>
        </w:pict>
      </w:r>
    </w:p>
    <w:bookmarkEnd w:id="10"/>
    <w:bookmarkStart w:id="11" w:name="product-direction"/>
    <w:p>
      <w:pPr>
        <w:pStyle w:val="Heading1"/>
      </w:pPr>
      <w:r>
        <w:t xml:space="preserve">Product Direction</w:t>
      </w:r>
    </w:p>
    <w:p>
      <w:pPr>
        <w:pStyle w:val="FirstParagraph"/>
      </w:pPr>
      <w:r>
        <w:t xml:space="preserve">Trading Platform Pro shall evolve into a professional desktop Trading Cockpit for active traders.</w:t>
      </w:r>
    </w:p>
    <w:p>
      <w:pPr>
        <w:pStyle w:val="BodyText"/>
      </w:pPr>
      <w:r>
        <w:t xml:space="preserve">The product roadmap follows three principles:</w:t>
      </w:r>
    </w:p>
    <w:p>
      <w:pPr>
        <w:pStyle w:val="Compact"/>
        <w:numPr>
          <w:ilvl w:val="0"/>
          <w:numId w:val="1001"/>
        </w:numPr>
      </w:pPr>
      <w:r>
        <w:t xml:space="preserve">Build the Trading Cockpit as early as practical.</w:t>
      </w:r>
    </w:p>
    <w:p>
      <w:pPr>
        <w:pStyle w:val="Compact"/>
        <w:numPr>
          <w:ilvl w:val="0"/>
          <w:numId w:val="1001"/>
        </w:numPr>
      </w:pPr>
      <w:r>
        <w:t xml:space="preserve">Develop platform services when required by concrete product workflows.</w:t>
      </w:r>
    </w:p>
    <w:p>
      <w:pPr>
        <w:pStyle w:val="Compact"/>
        <w:numPr>
          <w:ilvl w:val="0"/>
          <w:numId w:val="1001"/>
        </w:numPr>
      </w:pPr>
      <w:r>
        <w:t xml:space="preserve">Deliver usable product increments throughout development.</w:t>
      </w:r>
    </w:p>
    <w:p>
      <w:pPr>
        <w:pStyle w:val="FirstParagraph"/>
      </w:pPr>
      <w:r>
        <w:t xml:space="preserve">The Trading Cockpit is not a late-stage application built after completing the entire platform.</w:t>
      </w:r>
    </w:p>
    <w:p>
      <w:pPr>
        <w:pStyle w:val="BodyText"/>
      </w:pPr>
      <w:r>
        <w:t xml:space="preserve">It is the primary product that drives platform evolution.</w:t>
      </w:r>
    </w:p>
    <w:p>
      <w:r>
        <w:pict>
          <v:rect style="width:0;height:1.5pt" o:hralign="center" o:hrstd="t" o:hr="t"/>
        </w:pict>
      </w:r>
    </w:p>
    <w:bookmarkEnd w:id="11"/>
    <w:bookmarkStart w:id="12" w:name="X204684c9af047f2a2050bb13a3e3096d7750eda"/>
    <w:p>
      <w:pPr>
        <w:pStyle w:val="Heading1"/>
      </w:pPr>
      <w:r>
        <w:t xml:space="preserve">Phase 1 – Product and Engineering Foundation</w:t>
      </w:r>
    </w:p>
    <w:p>
      <w:pPr>
        <w:pStyle w:val="FirstParagraph"/>
      </w:pPr>
      <w:r>
        <w:t xml:space="preserve">Status:</w:t>
      </w:r>
      <w:r>
        <w:t xml:space="preserve"> </w:t>
      </w:r>
      <w:r>
        <w:rPr>
          <w:b/>
          <w:bCs/>
        </w:rPr>
        <w:t xml:space="preserve">In Progress</w:t>
      </w:r>
    </w:p>
    <w:p>
      <w:pPr>
        <w:pStyle w:val="BodyText"/>
      </w:pPr>
      <w:r>
        <w:t xml:space="preserve">Objective:</w:t>
      </w:r>
    </w:p>
    <w:p>
      <w:pPr>
        <w:pStyle w:val="BodyText"/>
      </w:pPr>
      <w:r>
        <w:t xml:space="preserve">Establish the minimum product, architecture and engineering foundation required for controlled Trading Cockpit development.</w:t>
      </w:r>
    </w:p>
    <w:p>
      <w:pPr>
        <w:pStyle w:val="BodyText"/>
      </w:pPr>
      <w:r>
        <w:t xml:space="preserve">Major capabilities:</w:t>
      </w:r>
    </w:p>
    <w:p>
      <w:pPr>
        <w:pStyle w:val="Compact"/>
        <w:numPr>
          <w:ilvl w:val="0"/>
          <w:numId w:val="1002"/>
        </w:numPr>
      </w:pPr>
      <w:r>
        <w:t xml:space="preserve">Repository structure</w:t>
      </w:r>
    </w:p>
    <w:p>
      <w:pPr>
        <w:pStyle w:val="Compact"/>
        <w:numPr>
          <w:ilvl w:val="0"/>
          <w:numId w:val="1002"/>
        </w:numPr>
      </w:pPr>
      <w:r>
        <w:t xml:space="preserve">Documentation framework</w:t>
      </w:r>
    </w:p>
    <w:p>
      <w:pPr>
        <w:pStyle w:val="Compact"/>
        <w:numPr>
          <w:ilvl w:val="0"/>
          <w:numId w:val="1002"/>
        </w:numPr>
      </w:pPr>
      <w:r>
        <w:t xml:space="preserve">Product Vision</w:t>
      </w:r>
    </w:p>
    <w:p>
      <w:pPr>
        <w:pStyle w:val="Compact"/>
        <w:numPr>
          <w:ilvl w:val="0"/>
          <w:numId w:val="1002"/>
        </w:numPr>
      </w:pPr>
      <w:r>
        <w:t xml:space="preserve">Product Roadmap</w:t>
      </w:r>
    </w:p>
    <w:p>
      <w:pPr>
        <w:pStyle w:val="Compact"/>
        <w:numPr>
          <w:ilvl w:val="0"/>
          <w:numId w:val="1002"/>
        </w:numPr>
      </w:pPr>
      <w:r>
        <w:t xml:space="preserve">Clean Architecture</w:t>
      </w:r>
    </w:p>
    <w:p>
      <w:pPr>
        <w:pStyle w:val="Compact"/>
        <w:numPr>
          <w:ilvl w:val="0"/>
          <w:numId w:val="1002"/>
        </w:numPr>
      </w:pPr>
      <w:r>
        <w:t xml:space="preserve">Domain-Driven Design</w:t>
      </w:r>
    </w:p>
    <w:p>
      <w:pPr>
        <w:pStyle w:val="Compact"/>
        <w:numPr>
          <w:ilvl w:val="0"/>
          <w:numId w:val="1002"/>
        </w:numPr>
      </w:pPr>
      <w:r>
        <w:t xml:space="preserve">Dependency Injection</w:t>
      </w:r>
    </w:p>
    <w:p>
      <w:pPr>
        <w:pStyle w:val="Compact"/>
        <w:numPr>
          <w:ilvl w:val="0"/>
          <w:numId w:val="1002"/>
        </w:numPr>
      </w:pPr>
      <w:r>
        <w:t xml:space="preserve">Configuration foundation</w:t>
      </w:r>
    </w:p>
    <w:p>
      <w:pPr>
        <w:pStyle w:val="Compact"/>
        <w:numPr>
          <w:ilvl w:val="0"/>
          <w:numId w:val="1002"/>
        </w:numPr>
      </w:pPr>
      <w:r>
        <w:t xml:space="preserve">Logging foundation</w:t>
      </w:r>
    </w:p>
    <w:p>
      <w:pPr>
        <w:pStyle w:val="Compact"/>
        <w:numPr>
          <w:ilvl w:val="0"/>
          <w:numId w:val="1002"/>
        </w:numPr>
      </w:pPr>
      <w:r>
        <w:t xml:space="preserve">Runtime foundation</w:t>
      </w:r>
    </w:p>
    <w:p>
      <w:pPr>
        <w:pStyle w:val="Compact"/>
        <w:numPr>
          <w:ilvl w:val="0"/>
          <w:numId w:val="1002"/>
        </w:numPr>
      </w:pPr>
      <w:r>
        <w:t xml:space="preserve">Testing infrastructure</w:t>
      </w:r>
    </w:p>
    <w:p>
      <w:pPr>
        <w:pStyle w:val="Compact"/>
        <w:numPr>
          <w:ilvl w:val="0"/>
          <w:numId w:val="1002"/>
        </w:numPr>
      </w:pPr>
      <w:r>
        <w:t xml:space="preserve">CI/CD</w:t>
      </w:r>
    </w:p>
    <w:p>
      <w:pPr>
        <w:pStyle w:val="Compact"/>
        <w:numPr>
          <w:ilvl w:val="0"/>
          <w:numId w:val="1002"/>
        </w:numPr>
      </w:pPr>
      <w:r>
        <w:t xml:space="preserve">Developer workflow</w:t>
      </w:r>
    </w:p>
    <w:p>
      <w:pPr>
        <w:pStyle w:val="Compact"/>
        <w:numPr>
          <w:ilvl w:val="0"/>
          <w:numId w:val="1002"/>
        </w:numPr>
      </w:pPr>
      <w:r>
        <w:t xml:space="preserve">Documentation generation</w:t>
      </w:r>
    </w:p>
    <w:p>
      <w:pPr>
        <w:pStyle w:val="FirstParagraph"/>
      </w:pPr>
      <w:r>
        <w:t xml:space="preserve">Exit criteria:</w:t>
      </w:r>
    </w:p>
    <w:p>
      <w:pPr>
        <w:pStyle w:val="Compact"/>
        <w:numPr>
          <w:ilvl w:val="0"/>
          <w:numId w:val="1003"/>
        </w:numPr>
      </w:pPr>
      <w:r>
        <w:t xml:space="preserve">product direction documented</w:t>
      </w:r>
    </w:p>
    <w:p>
      <w:pPr>
        <w:pStyle w:val="Compact"/>
        <w:numPr>
          <w:ilvl w:val="0"/>
          <w:numId w:val="1003"/>
        </w:numPr>
      </w:pPr>
      <w:r>
        <w:t xml:space="preserve">architecture boundaries documented</w:t>
      </w:r>
    </w:p>
    <w:p>
      <w:pPr>
        <w:pStyle w:val="Compact"/>
        <w:numPr>
          <w:ilvl w:val="0"/>
          <w:numId w:val="1003"/>
        </w:numPr>
      </w:pPr>
      <w:r>
        <w:t xml:space="preserve">development workflow operational</w:t>
      </w:r>
    </w:p>
    <w:p>
      <w:pPr>
        <w:pStyle w:val="Compact"/>
        <w:numPr>
          <w:ilvl w:val="0"/>
          <w:numId w:val="1003"/>
        </w:numPr>
      </w:pPr>
      <w:r>
        <w:t xml:space="preserve">automated quality checks operational</w:t>
      </w:r>
    </w:p>
    <w:p>
      <w:pPr>
        <w:pStyle w:val="Compact"/>
        <w:numPr>
          <w:ilvl w:val="0"/>
          <w:numId w:val="1003"/>
        </w:numPr>
      </w:pPr>
      <w:r>
        <w:t xml:space="preserve">documentation maintained as Markdown source</w:t>
      </w:r>
    </w:p>
    <w:p>
      <w:pPr>
        <w:pStyle w:val="Compact"/>
        <w:numPr>
          <w:ilvl w:val="0"/>
          <w:numId w:val="1003"/>
        </w:numPr>
      </w:pPr>
      <w:r>
        <w:t xml:space="preserve">generated documentation reproducible</w:t>
      </w:r>
    </w:p>
    <w:p>
      <w:r>
        <w:pict>
          <v:rect style="width:0;height:1.5pt" o:hralign="center" o:hrstd="t" o:hr="t"/>
        </w:pict>
      </w:r>
    </w:p>
    <w:bookmarkEnd w:id="12"/>
    <w:bookmarkStart w:id="13" w:name="phase-2-trading-cockpit-shell"/>
    <w:p>
      <w:pPr>
        <w:pStyle w:val="Heading1"/>
      </w:pPr>
      <w:r>
        <w:t xml:space="preserve">Phase 2 – Trading Cockpit Shell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Deliver the first executable Trading Cockpit application.</w:t>
      </w:r>
    </w:p>
    <w:p>
      <w:pPr>
        <w:pStyle w:val="BodyText"/>
      </w:pPr>
      <w:r>
        <w:t xml:space="preserve">Major capabilities:</w:t>
      </w:r>
    </w:p>
    <w:p>
      <w:pPr>
        <w:pStyle w:val="Compact"/>
        <w:numPr>
          <w:ilvl w:val="0"/>
          <w:numId w:val="1004"/>
        </w:numPr>
      </w:pPr>
      <w:r>
        <w:t xml:space="preserve">Desktop application startup</w:t>
      </w:r>
    </w:p>
    <w:p>
      <w:pPr>
        <w:pStyle w:val="Compact"/>
        <w:numPr>
          <w:ilvl w:val="0"/>
          <w:numId w:val="1004"/>
        </w:numPr>
      </w:pPr>
      <w:r>
        <w:t xml:space="preserve">Main application window</w:t>
      </w:r>
    </w:p>
    <w:p>
      <w:pPr>
        <w:pStyle w:val="Compact"/>
        <w:numPr>
          <w:ilvl w:val="0"/>
          <w:numId w:val="1004"/>
        </w:numPr>
      </w:pPr>
      <w:r>
        <w:t xml:space="preserve">Workspace shell</w:t>
      </w:r>
    </w:p>
    <w:p>
      <w:pPr>
        <w:pStyle w:val="Compact"/>
        <w:numPr>
          <w:ilvl w:val="0"/>
          <w:numId w:val="1004"/>
        </w:numPr>
      </w:pPr>
      <w:r>
        <w:t xml:space="preserve">Dockable widget areas</w:t>
      </w:r>
    </w:p>
    <w:p>
      <w:pPr>
        <w:pStyle w:val="Compact"/>
        <w:numPr>
          <w:ilvl w:val="0"/>
          <w:numId w:val="1004"/>
        </w:numPr>
      </w:pPr>
      <w:r>
        <w:t xml:space="preserve">Navigation</w:t>
      </w:r>
    </w:p>
    <w:p>
      <w:pPr>
        <w:pStyle w:val="Compact"/>
        <w:numPr>
          <w:ilvl w:val="0"/>
          <w:numId w:val="1004"/>
        </w:numPr>
      </w:pPr>
      <w:r>
        <w:t xml:space="preserve">Status bar</w:t>
      </w:r>
    </w:p>
    <w:p>
      <w:pPr>
        <w:pStyle w:val="Compact"/>
        <w:numPr>
          <w:ilvl w:val="0"/>
          <w:numId w:val="1004"/>
        </w:numPr>
      </w:pPr>
      <w:r>
        <w:t xml:space="preserve">Notification area</w:t>
      </w:r>
    </w:p>
    <w:p>
      <w:pPr>
        <w:pStyle w:val="Compact"/>
        <w:numPr>
          <w:ilvl w:val="0"/>
          <w:numId w:val="1004"/>
        </w:numPr>
      </w:pPr>
      <w:r>
        <w:t xml:space="preserve">Command Palette foundation</w:t>
      </w:r>
    </w:p>
    <w:p>
      <w:pPr>
        <w:pStyle w:val="Compact"/>
        <w:numPr>
          <w:ilvl w:val="0"/>
          <w:numId w:val="1004"/>
        </w:numPr>
      </w:pPr>
      <w:r>
        <w:t xml:space="preserve">Theme foundation</w:t>
      </w:r>
    </w:p>
    <w:p>
      <w:pPr>
        <w:pStyle w:val="Compact"/>
        <w:numPr>
          <w:ilvl w:val="0"/>
          <w:numId w:val="1004"/>
        </w:numPr>
      </w:pPr>
      <w:r>
        <w:t xml:space="preserve">Workspace state persistence</w:t>
      </w:r>
    </w:p>
    <w:p>
      <w:pPr>
        <w:pStyle w:val="FirstParagraph"/>
      </w:pPr>
      <w:r>
        <w:t xml:space="preserve">Initial widgets:</w:t>
      </w:r>
    </w:p>
    <w:p>
      <w:pPr>
        <w:pStyle w:val="Compact"/>
        <w:numPr>
          <w:ilvl w:val="0"/>
          <w:numId w:val="1005"/>
        </w:numPr>
      </w:pPr>
      <w:r>
        <w:t xml:space="preserve">Market Overview placeholder</w:t>
      </w:r>
    </w:p>
    <w:p>
      <w:pPr>
        <w:pStyle w:val="Compact"/>
        <w:numPr>
          <w:ilvl w:val="0"/>
          <w:numId w:val="1005"/>
        </w:numPr>
      </w:pPr>
      <w:r>
        <w:t xml:space="preserve">Watchlist placeholder</w:t>
      </w:r>
    </w:p>
    <w:p>
      <w:pPr>
        <w:pStyle w:val="Compact"/>
        <w:numPr>
          <w:ilvl w:val="0"/>
          <w:numId w:val="1005"/>
        </w:numPr>
      </w:pPr>
      <w:r>
        <w:t xml:space="preserve">Portfolio Overview placeholder</w:t>
      </w:r>
    </w:p>
    <w:p>
      <w:pPr>
        <w:pStyle w:val="Compact"/>
        <w:numPr>
          <w:ilvl w:val="0"/>
          <w:numId w:val="1005"/>
        </w:numPr>
      </w:pPr>
      <w:r>
        <w:t xml:space="preserve">Risk Overview placeholder</w:t>
      </w:r>
    </w:p>
    <w:p>
      <w:pPr>
        <w:pStyle w:val="FirstParagraph"/>
      </w:pPr>
      <w:r>
        <w:t xml:space="preserve">Product outcome:</w:t>
      </w:r>
    </w:p>
    <w:p>
      <w:pPr>
        <w:pStyle w:val="BodyText"/>
      </w:pPr>
      <w:r>
        <w:t xml:space="preserve">The user can start the Trading Cockpit, arrange the workspace and restore the previous working context.</w:t>
      </w:r>
    </w:p>
    <w:p>
      <w:pPr>
        <w:pStyle w:val="BodyText"/>
      </w:pPr>
      <w:r>
        <w:t xml:space="preserve">Exit criteria:</w:t>
      </w:r>
    </w:p>
    <w:p>
      <w:pPr>
        <w:pStyle w:val="Compact"/>
        <w:numPr>
          <w:ilvl w:val="0"/>
          <w:numId w:val="1006"/>
        </w:numPr>
      </w:pPr>
      <w:r>
        <w:t xml:space="preserve">application starts and shuts down deterministically</w:t>
      </w:r>
    </w:p>
    <w:p>
      <w:pPr>
        <w:pStyle w:val="Compact"/>
        <w:numPr>
          <w:ilvl w:val="0"/>
          <w:numId w:val="1006"/>
        </w:numPr>
      </w:pPr>
      <w:r>
        <w:t xml:space="preserve">workspace can be configured</w:t>
      </w:r>
    </w:p>
    <w:p>
      <w:pPr>
        <w:pStyle w:val="Compact"/>
        <w:numPr>
          <w:ilvl w:val="0"/>
          <w:numId w:val="1006"/>
        </w:numPr>
      </w:pPr>
      <w:r>
        <w:t xml:space="preserve">widgets can be docked and resized</w:t>
      </w:r>
    </w:p>
    <w:p>
      <w:pPr>
        <w:pStyle w:val="Compact"/>
        <w:numPr>
          <w:ilvl w:val="0"/>
          <w:numId w:val="1006"/>
        </w:numPr>
      </w:pPr>
      <w:r>
        <w:t xml:space="preserve">workspace state can be restored</w:t>
      </w:r>
    </w:p>
    <w:p>
      <w:pPr>
        <w:pStyle w:val="Compact"/>
        <w:numPr>
          <w:ilvl w:val="0"/>
          <w:numId w:val="1006"/>
        </w:numPr>
      </w:pPr>
      <w:r>
        <w:t xml:space="preserve">runtime status is visible</w:t>
      </w:r>
    </w:p>
    <w:p>
      <w:pPr>
        <w:pStyle w:val="Compact"/>
        <w:numPr>
          <w:ilvl w:val="0"/>
          <w:numId w:val="1006"/>
        </w:numPr>
      </w:pPr>
      <w:r>
        <w:t xml:space="preserve">UI remains responsive</w:t>
      </w:r>
    </w:p>
    <w:p>
      <w:r>
        <w:pict>
          <v:rect style="width:0;height:1.5pt" o:hralign="center" o:hrstd="t" o:hr="t"/>
        </w:pict>
      </w:r>
    </w:p>
    <w:bookmarkEnd w:id="13"/>
    <w:bookmarkStart w:id="14" w:name="phase-3-market-observation-workflow"/>
    <w:p>
      <w:pPr>
        <w:pStyle w:val="Heading1"/>
      </w:pPr>
      <w:r>
        <w:t xml:space="preserve">Phase 3 – Market Observation Workflow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Enable the user to observe markets and maintain relevant trading instruments.</w:t>
      </w:r>
    </w:p>
    <w:p>
      <w:pPr>
        <w:pStyle w:val="BodyText"/>
      </w:pPr>
      <w:r>
        <w:t xml:space="preserve">Major capabilities:</w:t>
      </w:r>
    </w:p>
    <w:p>
      <w:pPr>
        <w:pStyle w:val="Compact"/>
        <w:numPr>
          <w:ilvl w:val="0"/>
          <w:numId w:val="1007"/>
        </w:numPr>
      </w:pPr>
      <w:r>
        <w:t xml:space="preserve">Market Data foundation</w:t>
      </w:r>
    </w:p>
    <w:p>
      <w:pPr>
        <w:pStyle w:val="Compact"/>
        <w:numPr>
          <w:ilvl w:val="0"/>
          <w:numId w:val="1007"/>
        </w:numPr>
      </w:pPr>
      <w:r>
        <w:t xml:space="preserve">Instrument model</w:t>
      </w:r>
    </w:p>
    <w:p>
      <w:pPr>
        <w:pStyle w:val="Compact"/>
        <w:numPr>
          <w:ilvl w:val="0"/>
          <w:numId w:val="1007"/>
        </w:numPr>
      </w:pPr>
      <w:r>
        <w:t xml:space="preserve">Symbol resolution</w:t>
      </w:r>
    </w:p>
    <w:p>
      <w:pPr>
        <w:pStyle w:val="Compact"/>
        <w:numPr>
          <w:ilvl w:val="0"/>
          <w:numId w:val="1007"/>
        </w:numPr>
      </w:pPr>
      <w:r>
        <w:t xml:space="preserve">Market Overview</w:t>
      </w:r>
    </w:p>
    <w:p>
      <w:pPr>
        <w:pStyle w:val="Compact"/>
        <w:numPr>
          <w:ilvl w:val="0"/>
          <w:numId w:val="1007"/>
        </w:numPr>
      </w:pPr>
      <w:r>
        <w:t xml:space="preserve">Watchlists</w:t>
      </w:r>
    </w:p>
    <w:p>
      <w:pPr>
        <w:pStyle w:val="Compact"/>
        <w:numPr>
          <w:ilvl w:val="0"/>
          <w:numId w:val="1007"/>
        </w:numPr>
      </w:pPr>
      <w:r>
        <w:t xml:space="preserve">Quote updates</w:t>
      </w:r>
    </w:p>
    <w:p>
      <w:pPr>
        <w:pStyle w:val="Compact"/>
        <w:numPr>
          <w:ilvl w:val="0"/>
          <w:numId w:val="1007"/>
        </w:numPr>
      </w:pPr>
      <w:r>
        <w:t xml:space="preserve">Market status</w:t>
      </w:r>
    </w:p>
    <w:p>
      <w:pPr>
        <w:pStyle w:val="Compact"/>
        <w:numPr>
          <w:ilvl w:val="0"/>
          <w:numId w:val="1007"/>
        </w:numPr>
      </w:pPr>
      <w:r>
        <w:t xml:space="preserve">Basic chart integration</w:t>
      </w:r>
    </w:p>
    <w:p>
      <w:pPr>
        <w:pStyle w:val="Compact"/>
        <w:numPr>
          <w:ilvl w:val="0"/>
          <w:numId w:val="1007"/>
        </w:numPr>
      </w:pPr>
      <w:r>
        <w:t xml:space="preserve">Data freshness visibility</w:t>
      </w:r>
    </w:p>
    <w:p>
      <w:pPr>
        <w:pStyle w:val="FirstParagraph"/>
      </w:pPr>
      <w:r>
        <w:t xml:space="preserve">Trading workflow:</w:t>
      </w:r>
    </w:p>
    <w:p>
      <w:pPr>
        <w:pStyle w:val="Compact"/>
        <w:numPr>
          <w:ilvl w:val="0"/>
          <w:numId w:val="1008"/>
        </w:numPr>
      </w:pPr>
      <w:r>
        <w:t xml:space="preserve">Open Trading Cockpit.</w:t>
      </w:r>
    </w:p>
    <w:p>
      <w:pPr>
        <w:pStyle w:val="Compact"/>
        <w:numPr>
          <w:ilvl w:val="0"/>
          <w:numId w:val="1008"/>
        </w:numPr>
      </w:pPr>
      <w:r>
        <w:t xml:space="preserve">Restore workspace.</w:t>
      </w:r>
    </w:p>
    <w:p>
      <w:pPr>
        <w:pStyle w:val="Compact"/>
        <w:numPr>
          <w:ilvl w:val="0"/>
          <w:numId w:val="1008"/>
        </w:numPr>
      </w:pPr>
      <w:r>
        <w:t xml:space="preserve">Observe current market state.</w:t>
      </w:r>
    </w:p>
    <w:p>
      <w:pPr>
        <w:pStyle w:val="Compact"/>
        <w:numPr>
          <w:ilvl w:val="0"/>
          <w:numId w:val="1008"/>
        </w:numPr>
      </w:pPr>
      <w:r>
        <w:t xml:space="preserve">Review watchlists.</w:t>
      </w:r>
    </w:p>
    <w:p>
      <w:pPr>
        <w:pStyle w:val="Compact"/>
        <w:numPr>
          <w:ilvl w:val="0"/>
          <w:numId w:val="1008"/>
        </w:numPr>
      </w:pPr>
      <w:r>
        <w:t xml:space="preserve">Select an instrument.</w:t>
      </w:r>
    </w:p>
    <w:p>
      <w:pPr>
        <w:pStyle w:val="Compact"/>
        <w:numPr>
          <w:ilvl w:val="0"/>
          <w:numId w:val="1008"/>
        </w:numPr>
      </w:pPr>
      <w:r>
        <w:t xml:space="preserve">Inspect price and market information.</w:t>
      </w:r>
    </w:p>
    <w:p>
      <w:pPr>
        <w:pStyle w:val="FirstParagraph"/>
      </w:pPr>
      <w:r>
        <w:t xml:space="preserve">Product outcome:</w:t>
      </w:r>
    </w:p>
    <w:p>
      <w:pPr>
        <w:pStyle w:val="BodyText"/>
      </w:pPr>
      <w:r>
        <w:t xml:space="preserve">The user can monitor relevant instruments without switching to separate market observation tools.</w:t>
      </w:r>
    </w:p>
    <w:p>
      <w:pPr>
        <w:pStyle w:val="BodyText"/>
      </w:pPr>
      <w:r>
        <w:t xml:space="preserve">Exit criteria:</w:t>
      </w:r>
    </w:p>
    <w:p>
      <w:pPr>
        <w:pStyle w:val="Compact"/>
        <w:numPr>
          <w:ilvl w:val="0"/>
          <w:numId w:val="1009"/>
        </w:numPr>
      </w:pPr>
      <w:r>
        <w:t xml:space="preserve">instruments can be identified consistently</w:t>
      </w:r>
    </w:p>
    <w:p>
      <w:pPr>
        <w:pStyle w:val="Compact"/>
        <w:numPr>
          <w:ilvl w:val="0"/>
          <w:numId w:val="1009"/>
        </w:numPr>
      </w:pPr>
      <w:r>
        <w:t xml:space="preserve">watchlists can be created and maintained</w:t>
      </w:r>
    </w:p>
    <w:p>
      <w:pPr>
        <w:pStyle w:val="Compact"/>
        <w:numPr>
          <w:ilvl w:val="0"/>
          <w:numId w:val="1009"/>
        </w:numPr>
      </w:pPr>
      <w:r>
        <w:t xml:space="preserve">market data state is visible</w:t>
      </w:r>
    </w:p>
    <w:p>
      <w:pPr>
        <w:pStyle w:val="Compact"/>
        <w:numPr>
          <w:ilvl w:val="0"/>
          <w:numId w:val="1009"/>
        </w:numPr>
      </w:pPr>
      <w:r>
        <w:t xml:space="preserve">stale data is identifiable</w:t>
      </w:r>
    </w:p>
    <w:p>
      <w:pPr>
        <w:pStyle w:val="Compact"/>
        <w:numPr>
          <w:ilvl w:val="0"/>
          <w:numId w:val="1009"/>
        </w:numPr>
      </w:pPr>
      <w:r>
        <w:t xml:space="preserve">selected instruments can be shared between widgets</w:t>
      </w:r>
    </w:p>
    <w:p>
      <w:r>
        <w:pict>
          <v:rect style="width:0;height:1.5pt" o:hralign="center" o:hrstd="t" o:hr="t"/>
        </w:pict>
      </w:r>
    </w:p>
    <w:bookmarkEnd w:id="14"/>
    <w:bookmarkStart w:id="15" w:name="phase-4-trading-candidate-workflow"/>
    <w:p>
      <w:pPr>
        <w:pStyle w:val="Heading1"/>
      </w:pPr>
      <w:r>
        <w:t xml:space="preserve">Phase 4 – Trading Candidate Workflow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Enable the user to identify and evaluate potential trading opportunities.</w:t>
      </w:r>
    </w:p>
    <w:p>
      <w:pPr>
        <w:pStyle w:val="BodyText"/>
      </w:pPr>
      <w:r>
        <w:t xml:space="preserve">Major capabilities:</w:t>
      </w:r>
    </w:p>
    <w:p>
      <w:pPr>
        <w:pStyle w:val="Compact"/>
        <w:numPr>
          <w:ilvl w:val="0"/>
          <w:numId w:val="1010"/>
        </w:numPr>
      </w:pPr>
      <w:r>
        <w:t xml:space="preserve">Market Scanner</w:t>
      </w:r>
    </w:p>
    <w:p>
      <w:pPr>
        <w:pStyle w:val="Compact"/>
        <w:numPr>
          <w:ilvl w:val="0"/>
          <w:numId w:val="1010"/>
        </w:numPr>
      </w:pPr>
      <w:r>
        <w:t xml:space="preserve">Scanner result lists</w:t>
      </w:r>
    </w:p>
    <w:p>
      <w:pPr>
        <w:pStyle w:val="Compact"/>
        <w:numPr>
          <w:ilvl w:val="0"/>
          <w:numId w:val="1010"/>
        </w:numPr>
      </w:pPr>
      <w:r>
        <w:t xml:space="preserve">Filtering</w:t>
      </w:r>
    </w:p>
    <w:p>
      <w:pPr>
        <w:pStyle w:val="Compact"/>
        <w:numPr>
          <w:ilvl w:val="0"/>
          <w:numId w:val="1010"/>
        </w:numPr>
      </w:pPr>
      <w:r>
        <w:t xml:space="preserve">Sorting</w:t>
      </w:r>
    </w:p>
    <w:p>
      <w:pPr>
        <w:pStyle w:val="Compact"/>
        <w:numPr>
          <w:ilvl w:val="0"/>
          <w:numId w:val="1010"/>
        </w:numPr>
      </w:pPr>
      <w:r>
        <w:t xml:space="preserve">Instrument selection</w:t>
      </w:r>
    </w:p>
    <w:p>
      <w:pPr>
        <w:pStyle w:val="Compact"/>
        <w:numPr>
          <w:ilvl w:val="0"/>
          <w:numId w:val="1010"/>
        </w:numPr>
      </w:pPr>
      <w:r>
        <w:t xml:space="preserve">Chart context</w:t>
      </w:r>
    </w:p>
    <w:p>
      <w:pPr>
        <w:pStyle w:val="Compact"/>
        <w:numPr>
          <w:ilvl w:val="0"/>
          <w:numId w:val="1010"/>
        </w:numPr>
      </w:pPr>
      <w:r>
        <w:t xml:space="preserve">Watchlist integration</w:t>
      </w:r>
    </w:p>
    <w:p>
      <w:pPr>
        <w:pStyle w:val="Compact"/>
        <w:numPr>
          <w:ilvl w:val="0"/>
          <w:numId w:val="1010"/>
        </w:numPr>
      </w:pPr>
      <w:r>
        <w:t xml:space="preserve">Trading candidate state</w:t>
      </w:r>
    </w:p>
    <w:p>
      <w:pPr>
        <w:pStyle w:val="Compact"/>
        <w:numPr>
          <w:ilvl w:val="0"/>
          <w:numId w:val="1010"/>
        </w:numPr>
      </w:pPr>
      <w:r>
        <w:t xml:space="preserve">Decision Center foundation</w:t>
      </w:r>
    </w:p>
    <w:p>
      <w:pPr>
        <w:pStyle w:val="FirstParagraph"/>
      </w:pPr>
      <w:r>
        <w:t xml:space="preserve">Trading workflow:</w:t>
      </w:r>
    </w:p>
    <w:p>
      <w:pPr>
        <w:pStyle w:val="Compact"/>
        <w:numPr>
          <w:ilvl w:val="0"/>
          <w:numId w:val="1011"/>
        </w:numPr>
      </w:pPr>
      <w:r>
        <w:t xml:space="preserve">Observe the market.</w:t>
      </w:r>
    </w:p>
    <w:p>
      <w:pPr>
        <w:pStyle w:val="Compact"/>
        <w:numPr>
          <w:ilvl w:val="0"/>
          <w:numId w:val="1011"/>
        </w:numPr>
      </w:pPr>
      <w:r>
        <w:t xml:space="preserve">Run or review a scanner.</w:t>
      </w:r>
    </w:p>
    <w:p>
      <w:pPr>
        <w:pStyle w:val="Compact"/>
        <w:numPr>
          <w:ilvl w:val="0"/>
          <w:numId w:val="1011"/>
        </w:numPr>
      </w:pPr>
      <w:r>
        <w:t xml:space="preserve">Filter trading candidates.</w:t>
      </w:r>
    </w:p>
    <w:p>
      <w:pPr>
        <w:pStyle w:val="Compact"/>
        <w:numPr>
          <w:ilvl w:val="0"/>
          <w:numId w:val="1011"/>
        </w:numPr>
      </w:pPr>
      <w:r>
        <w:t xml:space="preserve">Select an instrument.</w:t>
      </w:r>
    </w:p>
    <w:p>
      <w:pPr>
        <w:pStyle w:val="Compact"/>
        <w:numPr>
          <w:ilvl w:val="0"/>
          <w:numId w:val="1011"/>
        </w:numPr>
      </w:pPr>
      <w:r>
        <w:t xml:space="preserve">Review chart and market context.</w:t>
      </w:r>
    </w:p>
    <w:p>
      <w:pPr>
        <w:pStyle w:val="Compact"/>
        <w:numPr>
          <w:ilvl w:val="0"/>
          <w:numId w:val="1011"/>
        </w:numPr>
      </w:pPr>
      <w:r>
        <w:t xml:space="preserve">Add the instrument to a watchlist or Decision Center.</w:t>
      </w:r>
    </w:p>
    <w:p>
      <w:pPr>
        <w:pStyle w:val="FirstParagraph"/>
      </w:pPr>
      <w:r>
        <w:t xml:space="preserve">Product outcome:</w:t>
      </w:r>
    </w:p>
    <w:p>
      <w:pPr>
        <w:pStyle w:val="BodyText"/>
      </w:pPr>
      <w:r>
        <w:t xml:space="preserve">The user can move from broad market observation to a defined set of trading candidates within the Trading Cockpit.</w:t>
      </w:r>
    </w:p>
    <w:p>
      <w:pPr>
        <w:pStyle w:val="BodyText"/>
      </w:pPr>
      <w:r>
        <w:t xml:space="preserve">Exit criteria:</w:t>
      </w:r>
    </w:p>
    <w:p>
      <w:pPr>
        <w:pStyle w:val="Compact"/>
        <w:numPr>
          <w:ilvl w:val="0"/>
          <w:numId w:val="1012"/>
        </w:numPr>
      </w:pPr>
      <w:r>
        <w:t xml:space="preserve">scanner results are reproducible</w:t>
      </w:r>
    </w:p>
    <w:p>
      <w:pPr>
        <w:pStyle w:val="Compact"/>
        <w:numPr>
          <w:ilvl w:val="0"/>
          <w:numId w:val="1012"/>
        </w:numPr>
      </w:pPr>
      <w:r>
        <w:t xml:space="preserve">filtering and sorting are deterministic</w:t>
      </w:r>
    </w:p>
    <w:p>
      <w:pPr>
        <w:pStyle w:val="Compact"/>
        <w:numPr>
          <w:ilvl w:val="0"/>
          <w:numId w:val="1012"/>
        </w:numPr>
      </w:pPr>
      <w:r>
        <w:t xml:space="preserve">instrument context is preserved between widgets</w:t>
      </w:r>
    </w:p>
    <w:p>
      <w:pPr>
        <w:pStyle w:val="Compact"/>
        <w:numPr>
          <w:ilvl w:val="0"/>
          <w:numId w:val="1012"/>
        </w:numPr>
      </w:pPr>
      <w:r>
        <w:t xml:space="preserve">trading candidates can be tracked</w:t>
      </w:r>
    </w:p>
    <w:p>
      <w:pPr>
        <w:pStyle w:val="Compact"/>
        <w:numPr>
          <w:ilvl w:val="0"/>
          <w:numId w:val="1012"/>
        </w:numPr>
      </w:pPr>
      <w:r>
        <w:t xml:space="preserve">candidate state can be restored</w:t>
      </w:r>
    </w:p>
    <w:p>
      <w:r>
        <w:pict>
          <v:rect style="width:0;height:1.5pt" o:hralign="center" o:hrstd="t" o:hr="t"/>
        </w:pict>
      </w:r>
    </w:p>
    <w:bookmarkEnd w:id="15"/>
    <w:bookmarkStart w:id="16" w:name="phase-5-portfolio-and-risk-context"/>
    <w:p>
      <w:pPr>
        <w:pStyle w:val="Heading1"/>
      </w:pPr>
      <w:r>
        <w:t xml:space="preserve">Phase 5 – Portfolio and Risk Context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Provide portfolio and risk information during the trading decision process.</w:t>
      </w:r>
    </w:p>
    <w:p>
      <w:pPr>
        <w:pStyle w:val="BodyText"/>
      </w:pPr>
      <w:r>
        <w:t xml:space="preserve">Major capabilities:</w:t>
      </w:r>
    </w:p>
    <w:p>
      <w:pPr>
        <w:pStyle w:val="Compact"/>
        <w:numPr>
          <w:ilvl w:val="0"/>
          <w:numId w:val="1013"/>
        </w:numPr>
      </w:pPr>
      <w:r>
        <w:t xml:space="preserve">Broker Integration foundation</w:t>
      </w:r>
    </w:p>
    <w:p>
      <w:pPr>
        <w:pStyle w:val="Compact"/>
        <w:numPr>
          <w:ilvl w:val="0"/>
          <w:numId w:val="1013"/>
        </w:numPr>
      </w:pPr>
      <w:r>
        <w:t xml:space="preserve">Portfolio model</w:t>
      </w:r>
    </w:p>
    <w:p>
      <w:pPr>
        <w:pStyle w:val="Compact"/>
        <w:numPr>
          <w:ilvl w:val="0"/>
          <w:numId w:val="1013"/>
        </w:numPr>
      </w:pPr>
      <w:r>
        <w:t xml:space="preserve">Position Management</w:t>
      </w:r>
    </w:p>
    <w:p>
      <w:pPr>
        <w:pStyle w:val="Compact"/>
        <w:numPr>
          <w:ilvl w:val="0"/>
          <w:numId w:val="1013"/>
        </w:numPr>
      </w:pPr>
      <w:r>
        <w:t xml:space="preserve">Portfolio Overview</w:t>
      </w:r>
    </w:p>
    <w:p>
      <w:pPr>
        <w:pStyle w:val="Compact"/>
        <w:numPr>
          <w:ilvl w:val="0"/>
          <w:numId w:val="1013"/>
        </w:numPr>
      </w:pPr>
      <w:r>
        <w:t xml:space="preserve">Position Overview</w:t>
      </w:r>
    </w:p>
    <w:p>
      <w:pPr>
        <w:pStyle w:val="Compact"/>
        <w:numPr>
          <w:ilvl w:val="0"/>
          <w:numId w:val="1013"/>
        </w:numPr>
      </w:pPr>
      <w:r>
        <w:t xml:space="preserve">P&amp;L visibility</w:t>
      </w:r>
    </w:p>
    <w:p>
      <w:pPr>
        <w:pStyle w:val="Compact"/>
        <w:numPr>
          <w:ilvl w:val="0"/>
          <w:numId w:val="1013"/>
        </w:numPr>
      </w:pPr>
      <w:r>
        <w:t xml:space="preserve">Exposure visibility</w:t>
      </w:r>
    </w:p>
    <w:p>
      <w:pPr>
        <w:pStyle w:val="Compact"/>
        <w:numPr>
          <w:ilvl w:val="0"/>
          <w:numId w:val="1013"/>
        </w:numPr>
      </w:pPr>
      <w:r>
        <w:t xml:space="preserve">Risk Overview</w:t>
      </w:r>
    </w:p>
    <w:p>
      <w:pPr>
        <w:pStyle w:val="Compact"/>
        <w:numPr>
          <w:ilvl w:val="0"/>
          <w:numId w:val="1013"/>
        </w:numPr>
      </w:pPr>
      <w:r>
        <w:t xml:space="preserve">Data reconciliation</w:t>
      </w:r>
    </w:p>
    <w:p>
      <w:pPr>
        <w:pStyle w:val="Compact"/>
        <w:numPr>
          <w:ilvl w:val="0"/>
          <w:numId w:val="1013"/>
        </w:numPr>
      </w:pPr>
      <w:r>
        <w:t xml:space="preserve">Broker connection state</w:t>
      </w:r>
    </w:p>
    <w:p>
      <w:pPr>
        <w:pStyle w:val="FirstParagraph"/>
      </w:pPr>
      <w:r>
        <w:t xml:space="preserve">Trading workflow:</w:t>
      </w:r>
    </w:p>
    <w:p>
      <w:pPr>
        <w:pStyle w:val="Compact"/>
        <w:numPr>
          <w:ilvl w:val="0"/>
          <w:numId w:val="1014"/>
        </w:numPr>
      </w:pPr>
      <w:r>
        <w:t xml:space="preserve">Select a trading candidate.</w:t>
      </w:r>
    </w:p>
    <w:p>
      <w:pPr>
        <w:pStyle w:val="Compact"/>
        <w:numPr>
          <w:ilvl w:val="0"/>
          <w:numId w:val="1014"/>
        </w:numPr>
      </w:pPr>
      <w:r>
        <w:t xml:space="preserve">Review current portfolio.</w:t>
      </w:r>
    </w:p>
    <w:p>
      <w:pPr>
        <w:pStyle w:val="Compact"/>
        <w:numPr>
          <w:ilvl w:val="0"/>
          <w:numId w:val="1014"/>
        </w:numPr>
      </w:pPr>
      <w:r>
        <w:t xml:space="preserve">Review existing positions.</w:t>
      </w:r>
    </w:p>
    <w:p>
      <w:pPr>
        <w:pStyle w:val="Compact"/>
        <w:numPr>
          <w:ilvl w:val="0"/>
          <w:numId w:val="1014"/>
        </w:numPr>
      </w:pPr>
      <w:r>
        <w:t xml:space="preserve">Evaluate exposure.</w:t>
      </w:r>
    </w:p>
    <w:p>
      <w:pPr>
        <w:pStyle w:val="Compact"/>
        <w:numPr>
          <w:ilvl w:val="0"/>
          <w:numId w:val="1014"/>
        </w:numPr>
      </w:pPr>
      <w:r>
        <w:t xml:space="preserve">Review available risk information.</w:t>
      </w:r>
    </w:p>
    <w:p>
      <w:pPr>
        <w:pStyle w:val="Compact"/>
        <w:numPr>
          <w:ilvl w:val="0"/>
          <w:numId w:val="1014"/>
        </w:numPr>
      </w:pPr>
      <w:r>
        <w:t xml:space="preserve">Continue or reject the trading opportunity.</w:t>
      </w:r>
    </w:p>
    <w:p>
      <w:pPr>
        <w:pStyle w:val="FirstParagraph"/>
      </w:pPr>
      <w:r>
        <w:t xml:space="preserve">Product outcome:</w:t>
      </w:r>
    </w:p>
    <w:p>
      <w:pPr>
        <w:pStyle w:val="BodyText"/>
      </w:pPr>
      <w:r>
        <w:t xml:space="preserve">Trading decisions can be evaluated within current portfolio and risk context.</w:t>
      </w:r>
    </w:p>
    <w:p>
      <w:pPr>
        <w:pStyle w:val="BodyText"/>
      </w:pPr>
      <w:r>
        <w:t xml:space="preserve">Exit criteria:</w:t>
      </w:r>
    </w:p>
    <w:p>
      <w:pPr>
        <w:pStyle w:val="Compact"/>
        <w:numPr>
          <w:ilvl w:val="0"/>
          <w:numId w:val="1015"/>
        </w:numPr>
      </w:pPr>
      <w:r>
        <w:t xml:space="preserve">broker state is visible</w:t>
      </w:r>
    </w:p>
    <w:p>
      <w:pPr>
        <w:pStyle w:val="Compact"/>
        <w:numPr>
          <w:ilvl w:val="0"/>
          <w:numId w:val="1015"/>
        </w:numPr>
      </w:pPr>
      <w:r>
        <w:t xml:space="preserve">portfolio state is reproducible</w:t>
      </w:r>
    </w:p>
    <w:p>
      <w:pPr>
        <w:pStyle w:val="Compact"/>
        <w:numPr>
          <w:ilvl w:val="0"/>
          <w:numId w:val="1015"/>
        </w:numPr>
      </w:pPr>
      <w:r>
        <w:t xml:space="preserve">positions are represented consistently</w:t>
      </w:r>
    </w:p>
    <w:p>
      <w:pPr>
        <w:pStyle w:val="Compact"/>
        <w:numPr>
          <w:ilvl w:val="0"/>
          <w:numId w:val="1015"/>
        </w:numPr>
      </w:pPr>
      <w:r>
        <w:t xml:space="preserve">portfolio and broker discrepancies are identifiable</w:t>
      </w:r>
    </w:p>
    <w:p>
      <w:pPr>
        <w:pStyle w:val="Compact"/>
        <w:numPr>
          <w:ilvl w:val="0"/>
          <w:numId w:val="1015"/>
        </w:numPr>
      </w:pPr>
      <w:r>
        <w:t xml:space="preserve">risk information is visible before order preparation</w:t>
      </w:r>
    </w:p>
    <w:p>
      <w:r>
        <w:pict>
          <v:rect style="width:0;height:1.5pt" o:hralign="center" o:hrstd="t" o:hr="t"/>
        </w:pict>
      </w:r>
    </w:p>
    <w:bookmarkEnd w:id="16"/>
    <w:bookmarkStart w:id="17" w:name="phase-6-order-and-position-workflow"/>
    <w:p>
      <w:pPr>
        <w:pStyle w:val="Heading1"/>
      </w:pPr>
      <w:r>
        <w:t xml:space="preserve">Phase 6 – Order and Position Workflow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Support controlled order preparation, execution and position monitoring.</w:t>
      </w:r>
    </w:p>
    <w:p>
      <w:pPr>
        <w:pStyle w:val="BodyText"/>
      </w:pPr>
      <w:r>
        <w:t xml:space="preserve">Major capabilities:</w:t>
      </w:r>
    </w:p>
    <w:p>
      <w:pPr>
        <w:pStyle w:val="Compact"/>
        <w:numPr>
          <w:ilvl w:val="0"/>
          <w:numId w:val="1016"/>
        </w:numPr>
      </w:pPr>
      <w:r>
        <w:t xml:space="preserve">Order domain</w:t>
      </w:r>
    </w:p>
    <w:p>
      <w:pPr>
        <w:pStyle w:val="Compact"/>
        <w:numPr>
          <w:ilvl w:val="0"/>
          <w:numId w:val="1016"/>
        </w:numPr>
      </w:pPr>
      <w:r>
        <w:t xml:space="preserve">Order Management</w:t>
      </w:r>
    </w:p>
    <w:p>
      <w:pPr>
        <w:pStyle w:val="Compact"/>
        <w:numPr>
          <w:ilvl w:val="0"/>
          <w:numId w:val="1016"/>
        </w:numPr>
      </w:pPr>
      <w:r>
        <w:t xml:space="preserve">Order Entry widget</w:t>
      </w:r>
    </w:p>
    <w:p>
      <w:pPr>
        <w:pStyle w:val="Compact"/>
        <w:numPr>
          <w:ilvl w:val="0"/>
          <w:numId w:val="1016"/>
        </w:numPr>
      </w:pPr>
      <w:r>
        <w:t xml:space="preserve">Order validation</w:t>
      </w:r>
    </w:p>
    <w:p>
      <w:pPr>
        <w:pStyle w:val="Compact"/>
        <w:numPr>
          <w:ilvl w:val="0"/>
          <w:numId w:val="1016"/>
        </w:numPr>
      </w:pPr>
      <w:r>
        <w:t xml:space="preserve">Broker order submission</w:t>
      </w:r>
    </w:p>
    <w:p>
      <w:pPr>
        <w:pStyle w:val="Compact"/>
        <w:numPr>
          <w:ilvl w:val="0"/>
          <w:numId w:val="1016"/>
        </w:numPr>
      </w:pPr>
      <w:r>
        <w:t xml:space="preserve">Open Orders</w:t>
      </w:r>
    </w:p>
    <w:p>
      <w:pPr>
        <w:pStyle w:val="Compact"/>
        <w:numPr>
          <w:ilvl w:val="0"/>
          <w:numId w:val="1016"/>
        </w:numPr>
      </w:pPr>
      <w:r>
        <w:t xml:space="preserve">Order lifecycle visibility</w:t>
      </w:r>
    </w:p>
    <w:p>
      <w:pPr>
        <w:pStyle w:val="Compact"/>
        <w:numPr>
          <w:ilvl w:val="0"/>
          <w:numId w:val="1016"/>
        </w:numPr>
      </w:pPr>
      <w:r>
        <w:t xml:space="preserve">Execution feedback</w:t>
      </w:r>
    </w:p>
    <w:p>
      <w:pPr>
        <w:pStyle w:val="Compact"/>
        <w:numPr>
          <w:ilvl w:val="0"/>
          <w:numId w:val="1016"/>
        </w:numPr>
      </w:pPr>
      <w:r>
        <w:t xml:space="preserve">Position updates</w:t>
      </w:r>
    </w:p>
    <w:p>
      <w:pPr>
        <w:pStyle w:val="Compact"/>
        <w:numPr>
          <w:ilvl w:val="0"/>
          <w:numId w:val="1016"/>
        </w:numPr>
      </w:pPr>
      <w:r>
        <w:t xml:space="preserve">Error and rejection handling</w:t>
      </w:r>
    </w:p>
    <w:p>
      <w:pPr>
        <w:pStyle w:val="FirstParagraph"/>
      </w:pPr>
      <w:r>
        <w:t xml:space="preserve">Trading workflow:</w:t>
      </w:r>
    </w:p>
    <w:p>
      <w:pPr>
        <w:pStyle w:val="Compact"/>
        <w:numPr>
          <w:ilvl w:val="0"/>
          <w:numId w:val="1017"/>
        </w:numPr>
      </w:pPr>
      <w:r>
        <w:t xml:space="preserve">Evaluate a trading opportunity.</w:t>
      </w:r>
    </w:p>
    <w:p>
      <w:pPr>
        <w:pStyle w:val="Compact"/>
        <w:numPr>
          <w:ilvl w:val="0"/>
          <w:numId w:val="1017"/>
        </w:numPr>
      </w:pPr>
      <w:r>
        <w:t xml:space="preserve">Prepare an order.</w:t>
      </w:r>
    </w:p>
    <w:p>
      <w:pPr>
        <w:pStyle w:val="Compact"/>
        <w:numPr>
          <w:ilvl w:val="0"/>
          <w:numId w:val="1017"/>
        </w:numPr>
      </w:pPr>
      <w:r>
        <w:t xml:space="preserve">Validate the order.</w:t>
      </w:r>
    </w:p>
    <w:p>
      <w:pPr>
        <w:pStyle w:val="Compact"/>
        <w:numPr>
          <w:ilvl w:val="0"/>
          <w:numId w:val="1017"/>
        </w:numPr>
      </w:pPr>
      <w:r>
        <w:t xml:space="preserve">Review order parameters.</w:t>
      </w:r>
    </w:p>
    <w:p>
      <w:pPr>
        <w:pStyle w:val="Compact"/>
        <w:numPr>
          <w:ilvl w:val="0"/>
          <w:numId w:val="1017"/>
        </w:numPr>
      </w:pPr>
      <w:r>
        <w:t xml:space="preserve">Submit the order.</w:t>
      </w:r>
    </w:p>
    <w:p>
      <w:pPr>
        <w:pStyle w:val="Compact"/>
        <w:numPr>
          <w:ilvl w:val="0"/>
          <w:numId w:val="1017"/>
        </w:numPr>
      </w:pPr>
      <w:r>
        <w:t xml:space="preserve">Monitor order state.</w:t>
      </w:r>
    </w:p>
    <w:p>
      <w:pPr>
        <w:pStyle w:val="Compact"/>
        <w:numPr>
          <w:ilvl w:val="0"/>
          <w:numId w:val="1017"/>
        </w:numPr>
      </w:pPr>
      <w:r>
        <w:t xml:space="preserve">Confirm execution state.</w:t>
      </w:r>
    </w:p>
    <w:p>
      <w:pPr>
        <w:pStyle w:val="Compact"/>
        <w:numPr>
          <w:ilvl w:val="0"/>
          <w:numId w:val="1017"/>
        </w:numPr>
      </w:pPr>
      <w:r>
        <w:t xml:space="preserve">Monitor the resulting position.</w:t>
      </w:r>
    </w:p>
    <w:p>
      <w:pPr>
        <w:pStyle w:val="FirstParagraph"/>
      </w:pPr>
      <w:r>
        <w:t xml:space="preserve">Product outcome:</w:t>
      </w:r>
    </w:p>
    <w:p>
      <w:pPr>
        <w:pStyle w:val="BodyText"/>
      </w:pPr>
      <w:r>
        <w:t xml:space="preserve">The user can complete the core trading workflow without leaving the Trading Cockpit.</w:t>
      </w:r>
    </w:p>
    <w:p>
      <w:pPr>
        <w:pStyle w:val="BodyText"/>
      </w:pPr>
      <w:r>
        <w:t xml:space="preserve">Exit criteria:</w:t>
      </w:r>
    </w:p>
    <w:p>
      <w:pPr>
        <w:pStyle w:val="Compact"/>
        <w:numPr>
          <w:ilvl w:val="0"/>
          <w:numId w:val="1018"/>
        </w:numPr>
      </w:pPr>
      <w:r>
        <w:t xml:space="preserve">orders are validated before submission</w:t>
      </w:r>
    </w:p>
    <w:p>
      <w:pPr>
        <w:pStyle w:val="Compact"/>
        <w:numPr>
          <w:ilvl w:val="0"/>
          <w:numId w:val="1018"/>
        </w:numPr>
      </w:pPr>
      <w:r>
        <w:t xml:space="preserve">order state transitions are transparent</w:t>
      </w:r>
    </w:p>
    <w:p>
      <w:pPr>
        <w:pStyle w:val="Compact"/>
        <w:numPr>
          <w:ilvl w:val="0"/>
          <w:numId w:val="1018"/>
        </w:numPr>
      </w:pPr>
      <w:r>
        <w:t xml:space="preserve">broker rejections are visible</w:t>
      </w:r>
    </w:p>
    <w:p>
      <w:pPr>
        <w:pStyle w:val="Compact"/>
        <w:numPr>
          <w:ilvl w:val="0"/>
          <w:numId w:val="1018"/>
        </w:numPr>
      </w:pPr>
      <w:r>
        <w:t xml:space="preserve">duplicate submissions are controlled</w:t>
      </w:r>
    </w:p>
    <w:p>
      <w:pPr>
        <w:pStyle w:val="Compact"/>
        <w:numPr>
          <w:ilvl w:val="0"/>
          <w:numId w:val="1018"/>
        </w:numPr>
      </w:pPr>
      <w:r>
        <w:t xml:space="preserve">execution state is reconciled</w:t>
      </w:r>
    </w:p>
    <w:p>
      <w:pPr>
        <w:pStyle w:val="Compact"/>
        <w:numPr>
          <w:ilvl w:val="0"/>
          <w:numId w:val="1018"/>
        </w:numPr>
      </w:pPr>
      <w:r>
        <w:t xml:space="preserve">resulting positions are visible</w:t>
      </w:r>
    </w:p>
    <w:p>
      <w:r>
        <w:pict>
          <v:rect style="width:0;height:1.5pt" o:hralign="center" o:hrstd="t" o:hr="t"/>
        </w:pict>
      </w:r>
    </w:p>
    <w:bookmarkEnd w:id="17"/>
    <w:bookmarkStart w:id="18" w:name="phase-7-integrated-decision-center"/>
    <w:p>
      <w:pPr>
        <w:pStyle w:val="Heading1"/>
      </w:pPr>
      <w:r>
        <w:t xml:space="preserve">Phase 7 – Integrated Decision Center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Consolidate trading candidates, context and decision information.</w:t>
      </w:r>
    </w:p>
    <w:p>
      <w:pPr>
        <w:pStyle w:val="BodyText"/>
      </w:pPr>
      <w:r>
        <w:t xml:space="preserve">Major capabilities:</w:t>
      </w:r>
    </w:p>
    <w:p>
      <w:pPr>
        <w:pStyle w:val="Compact"/>
        <w:numPr>
          <w:ilvl w:val="0"/>
          <w:numId w:val="1019"/>
        </w:numPr>
      </w:pPr>
      <w:r>
        <w:t xml:space="preserve">Decision Center</w:t>
      </w:r>
    </w:p>
    <w:p>
      <w:pPr>
        <w:pStyle w:val="Compact"/>
        <w:numPr>
          <w:ilvl w:val="0"/>
          <w:numId w:val="1019"/>
        </w:numPr>
      </w:pPr>
      <w:r>
        <w:t xml:space="preserve">Trading candidate lifecycle</w:t>
      </w:r>
    </w:p>
    <w:p>
      <w:pPr>
        <w:pStyle w:val="Compact"/>
        <w:numPr>
          <w:ilvl w:val="0"/>
          <w:numId w:val="1019"/>
        </w:numPr>
      </w:pPr>
      <w:r>
        <w:t xml:space="preserve">Notes</w:t>
      </w:r>
    </w:p>
    <w:p>
      <w:pPr>
        <w:pStyle w:val="Compact"/>
        <w:numPr>
          <w:ilvl w:val="0"/>
          <w:numId w:val="1019"/>
        </w:numPr>
      </w:pPr>
      <w:r>
        <w:t xml:space="preserve">Tags</w:t>
      </w:r>
    </w:p>
    <w:p>
      <w:pPr>
        <w:pStyle w:val="Compact"/>
        <w:numPr>
          <w:ilvl w:val="0"/>
          <w:numId w:val="1019"/>
        </w:numPr>
      </w:pPr>
      <w:r>
        <w:t xml:space="preserve">Signals</w:t>
      </w:r>
    </w:p>
    <w:p>
      <w:pPr>
        <w:pStyle w:val="Compact"/>
        <w:numPr>
          <w:ilvl w:val="0"/>
          <w:numId w:val="1019"/>
        </w:numPr>
      </w:pPr>
      <w:r>
        <w:t xml:space="preserve">Strategy evaluation</w:t>
      </w:r>
    </w:p>
    <w:p>
      <w:pPr>
        <w:pStyle w:val="Compact"/>
        <w:numPr>
          <w:ilvl w:val="0"/>
          <w:numId w:val="1019"/>
        </w:numPr>
      </w:pPr>
      <w:r>
        <w:t xml:space="preserve">Portfolio context</w:t>
      </w:r>
    </w:p>
    <w:p>
      <w:pPr>
        <w:pStyle w:val="Compact"/>
        <w:numPr>
          <w:ilvl w:val="0"/>
          <w:numId w:val="1019"/>
        </w:numPr>
      </w:pPr>
      <w:r>
        <w:t xml:space="preserve">Risk context</w:t>
      </w:r>
    </w:p>
    <w:p>
      <w:pPr>
        <w:pStyle w:val="Compact"/>
        <w:numPr>
          <w:ilvl w:val="0"/>
          <w:numId w:val="1019"/>
        </w:numPr>
      </w:pPr>
      <w:r>
        <w:t xml:space="preserve">Decision status</w:t>
      </w:r>
    </w:p>
    <w:p>
      <w:pPr>
        <w:pStyle w:val="Compact"/>
        <w:numPr>
          <w:ilvl w:val="0"/>
          <w:numId w:val="1019"/>
        </w:numPr>
      </w:pPr>
      <w:r>
        <w:t xml:space="preserve">Historical decision information</w:t>
      </w:r>
    </w:p>
    <w:p>
      <w:pPr>
        <w:pStyle w:val="FirstParagraph"/>
      </w:pPr>
      <w:r>
        <w:t xml:space="preserve">Trading workflow:</w:t>
      </w:r>
    </w:p>
    <w:p>
      <w:pPr>
        <w:pStyle w:val="Compact"/>
        <w:numPr>
          <w:ilvl w:val="0"/>
          <w:numId w:val="1020"/>
        </w:numPr>
      </w:pPr>
      <w:r>
        <w:t xml:space="preserve">Identify a candidate.</w:t>
      </w:r>
    </w:p>
    <w:p>
      <w:pPr>
        <w:pStyle w:val="Compact"/>
        <w:numPr>
          <w:ilvl w:val="0"/>
          <w:numId w:val="1020"/>
        </w:numPr>
      </w:pPr>
      <w:r>
        <w:t xml:space="preserve">Collect relevant context.</w:t>
      </w:r>
    </w:p>
    <w:p>
      <w:pPr>
        <w:pStyle w:val="Compact"/>
        <w:numPr>
          <w:ilvl w:val="0"/>
          <w:numId w:val="1020"/>
        </w:numPr>
      </w:pPr>
      <w:r>
        <w:t xml:space="preserve">Evaluate market information.</w:t>
      </w:r>
    </w:p>
    <w:p>
      <w:pPr>
        <w:pStyle w:val="Compact"/>
        <w:numPr>
          <w:ilvl w:val="0"/>
          <w:numId w:val="1020"/>
        </w:numPr>
      </w:pPr>
      <w:r>
        <w:t xml:space="preserve">Evaluate portfolio and risk context.</w:t>
      </w:r>
    </w:p>
    <w:p>
      <w:pPr>
        <w:pStyle w:val="Compact"/>
        <w:numPr>
          <w:ilvl w:val="0"/>
          <w:numId w:val="1020"/>
        </w:numPr>
      </w:pPr>
      <w:r>
        <w:t xml:space="preserve">Record the trading decision.</w:t>
      </w:r>
    </w:p>
    <w:p>
      <w:pPr>
        <w:pStyle w:val="Compact"/>
        <w:numPr>
          <w:ilvl w:val="0"/>
          <w:numId w:val="1020"/>
        </w:numPr>
      </w:pPr>
      <w:r>
        <w:t xml:space="preserve">Prepare an order or reject the candidate.</w:t>
      </w:r>
    </w:p>
    <w:p>
      <w:pPr>
        <w:pStyle w:val="Compact"/>
        <w:numPr>
          <w:ilvl w:val="0"/>
          <w:numId w:val="1020"/>
        </w:numPr>
      </w:pPr>
      <w:r>
        <w:t xml:space="preserve">Review the decision later.</w:t>
      </w:r>
    </w:p>
    <w:p>
      <w:pPr>
        <w:pStyle w:val="FirstParagraph"/>
      </w:pPr>
      <w:r>
        <w:t xml:space="preserve">Product outcome:</w:t>
      </w:r>
    </w:p>
    <w:p>
      <w:pPr>
        <w:pStyle w:val="BodyText"/>
      </w:pPr>
      <w:r>
        <w:t xml:space="preserve">The Trading Cockpit supports a transparent and reviewable trading decision process.</w:t>
      </w:r>
    </w:p>
    <w:p>
      <w:pPr>
        <w:pStyle w:val="BodyText"/>
      </w:pPr>
      <w:r>
        <w:t xml:space="preserve">Exit criteria:</w:t>
      </w:r>
    </w:p>
    <w:p>
      <w:pPr>
        <w:pStyle w:val="Compact"/>
        <w:numPr>
          <w:ilvl w:val="0"/>
          <w:numId w:val="1021"/>
        </w:numPr>
      </w:pPr>
      <w:r>
        <w:t xml:space="preserve">candidate lifecycle is defined</w:t>
      </w:r>
    </w:p>
    <w:p>
      <w:pPr>
        <w:pStyle w:val="Compact"/>
        <w:numPr>
          <w:ilvl w:val="0"/>
          <w:numId w:val="1021"/>
        </w:numPr>
      </w:pPr>
      <w:r>
        <w:t xml:space="preserve">decision state is persistent</w:t>
      </w:r>
    </w:p>
    <w:p>
      <w:pPr>
        <w:pStyle w:val="Compact"/>
        <w:numPr>
          <w:ilvl w:val="0"/>
          <w:numId w:val="1021"/>
        </w:numPr>
      </w:pPr>
      <w:r>
        <w:t xml:space="preserve">relevant context is linked</w:t>
      </w:r>
    </w:p>
    <w:p>
      <w:pPr>
        <w:pStyle w:val="Compact"/>
        <w:numPr>
          <w:ilvl w:val="0"/>
          <w:numId w:val="1021"/>
        </w:numPr>
      </w:pPr>
      <w:r>
        <w:t xml:space="preserve">decisions are reviewable</w:t>
      </w:r>
    </w:p>
    <w:p>
      <w:pPr>
        <w:pStyle w:val="Compact"/>
        <w:numPr>
          <w:ilvl w:val="0"/>
          <w:numId w:val="1021"/>
        </w:numPr>
      </w:pPr>
      <w:r>
        <w:t xml:space="preserve">order preparation can originate from an accepted decision</w:t>
      </w:r>
    </w:p>
    <w:p>
      <w:r>
        <w:pict>
          <v:rect style="width:0;height:1.5pt" o:hralign="center" o:hrstd="t" o:hr="t"/>
        </w:pict>
      </w:r>
    </w:p>
    <w:bookmarkEnd w:id="18"/>
    <w:bookmarkStart w:id="19" w:name="phase-8-trading-review-and-analytics"/>
    <w:p>
      <w:pPr>
        <w:pStyle w:val="Heading1"/>
      </w:pPr>
      <w:r>
        <w:t xml:space="preserve">Phase 8 – Trading Review and Analytics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Enable users to review trading outcomes and improve their workflows.</w:t>
      </w:r>
    </w:p>
    <w:p>
      <w:pPr>
        <w:pStyle w:val="BodyText"/>
      </w:pPr>
      <w:r>
        <w:t xml:space="preserve">Major capabilities:</w:t>
      </w:r>
    </w:p>
    <w:p>
      <w:pPr>
        <w:pStyle w:val="Compact"/>
        <w:numPr>
          <w:ilvl w:val="0"/>
          <w:numId w:val="1022"/>
        </w:numPr>
      </w:pPr>
      <w:r>
        <w:t xml:space="preserve">Trading Journal</w:t>
      </w:r>
    </w:p>
    <w:p>
      <w:pPr>
        <w:pStyle w:val="Compact"/>
        <w:numPr>
          <w:ilvl w:val="0"/>
          <w:numId w:val="1022"/>
        </w:numPr>
      </w:pPr>
      <w:r>
        <w:t xml:space="preserve">Trade history</w:t>
      </w:r>
    </w:p>
    <w:p>
      <w:pPr>
        <w:pStyle w:val="Compact"/>
        <w:numPr>
          <w:ilvl w:val="0"/>
          <w:numId w:val="1022"/>
        </w:numPr>
      </w:pPr>
      <w:r>
        <w:t xml:space="preserve">Decision history</w:t>
      </w:r>
    </w:p>
    <w:p>
      <w:pPr>
        <w:pStyle w:val="Compact"/>
        <w:numPr>
          <w:ilvl w:val="0"/>
          <w:numId w:val="1022"/>
        </w:numPr>
      </w:pPr>
      <w:r>
        <w:t xml:space="preserve">Performance Analysis</w:t>
      </w:r>
    </w:p>
    <w:p>
      <w:pPr>
        <w:pStyle w:val="Compact"/>
        <w:numPr>
          <w:ilvl w:val="0"/>
          <w:numId w:val="1022"/>
        </w:numPr>
      </w:pPr>
      <w:r>
        <w:t xml:space="preserve">Risk Analytics</w:t>
      </w:r>
    </w:p>
    <w:p>
      <w:pPr>
        <w:pStyle w:val="Compact"/>
        <w:numPr>
          <w:ilvl w:val="0"/>
          <w:numId w:val="1022"/>
        </w:numPr>
      </w:pPr>
      <w:r>
        <w:t xml:space="preserve">Statistics</w:t>
      </w:r>
    </w:p>
    <w:p>
      <w:pPr>
        <w:pStyle w:val="Compact"/>
        <w:numPr>
          <w:ilvl w:val="0"/>
          <w:numId w:val="1022"/>
        </w:numPr>
      </w:pPr>
      <w:r>
        <w:t xml:space="preserve">Reporting</w:t>
      </w:r>
    </w:p>
    <w:p>
      <w:pPr>
        <w:pStyle w:val="Compact"/>
        <w:numPr>
          <w:ilvl w:val="0"/>
          <w:numId w:val="1022"/>
        </w:numPr>
      </w:pPr>
      <w:r>
        <w:t xml:space="preserve">Equity Curve</w:t>
      </w:r>
    </w:p>
    <w:p>
      <w:pPr>
        <w:pStyle w:val="Compact"/>
        <w:numPr>
          <w:ilvl w:val="0"/>
          <w:numId w:val="1022"/>
        </w:numPr>
      </w:pPr>
      <w:r>
        <w:t xml:space="preserve">Workflow review</w:t>
      </w:r>
    </w:p>
    <w:p>
      <w:pPr>
        <w:pStyle w:val="FirstParagraph"/>
      </w:pPr>
      <w:r>
        <w:t xml:space="preserve">Trading workflow:</w:t>
      </w:r>
    </w:p>
    <w:p>
      <w:pPr>
        <w:pStyle w:val="Compact"/>
        <w:numPr>
          <w:ilvl w:val="0"/>
          <w:numId w:val="1023"/>
        </w:numPr>
      </w:pPr>
      <w:r>
        <w:t xml:space="preserve">Review completed trades.</w:t>
      </w:r>
    </w:p>
    <w:p>
      <w:pPr>
        <w:pStyle w:val="Compact"/>
        <w:numPr>
          <w:ilvl w:val="0"/>
          <w:numId w:val="1023"/>
        </w:numPr>
      </w:pPr>
      <w:r>
        <w:t xml:space="preserve">Compare decisions with outcomes.</w:t>
      </w:r>
    </w:p>
    <w:p>
      <w:pPr>
        <w:pStyle w:val="Compact"/>
        <w:numPr>
          <w:ilvl w:val="0"/>
          <w:numId w:val="1023"/>
        </w:numPr>
      </w:pPr>
      <w:r>
        <w:t xml:space="preserve">Analyze performance.</w:t>
      </w:r>
    </w:p>
    <w:p>
      <w:pPr>
        <w:pStyle w:val="Compact"/>
        <w:numPr>
          <w:ilvl w:val="0"/>
          <w:numId w:val="1023"/>
        </w:numPr>
      </w:pPr>
      <w:r>
        <w:t xml:space="preserve">Identify recurring patterns.</w:t>
      </w:r>
    </w:p>
    <w:p>
      <w:pPr>
        <w:pStyle w:val="Compact"/>
        <w:numPr>
          <w:ilvl w:val="0"/>
          <w:numId w:val="1023"/>
        </w:numPr>
      </w:pPr>
      <w:r>
        <w:t xml:space="preserve">Improve trading workflows.</w:t>
      </w:r>
    </w:p>
    <w:p>
      <w:pPr>
        <w:pStyle w:val="FirstParagraph"/>
      </w:pPr>
      <w:r>
        <w:t xml:space="preserve">Product outcome:</w:t>
      </w:r>
    </w:p>
    <w:p>
      <w:pPr>
        <w:pStyle w:val="BodyText"/>
      </w:pPr>
      <w:r>
        <w:t xml:space="preserve">Trading activity becomes measurable and reviewable within the platform.</w:t>
      </w:r>
    </w:p>
    <w:p>
      <w:pPr>
        <w:pStyle w:val="BodyText"/>
      </w:pPr>
      <w:r>
        <w:t xml:space="preserve">Exit criteria:</w:t>
      </w:r>
    </w:p>
    <w:p>
      <w:pPr>
        <w:pStyle w:val="Compact"/>
        <w:numPr>
          <w:ilvl w:val="0"/>
          <w:numId w:val="1024"/>
        </w:numPr>
      </w:pPr>
      <w:r>
        <w:t xml:space="preserve">completed trading workflows can be reconstructed</w:t>
      </w:r>
    </w:p>
    <w:p>
      <w:pPr>
        <w:pStyle w:val="Compact"/>
        <w:numPr>
          <w:ilvl w:val="0"/>
          <w:numId w:val="1024"/>
        </w:numPr>
      </w:pPr>
      <w:r>
        <w:t xml:space="preserve">decisions and trades can be correlated</w:t>
      </w:r>
    </w:p>
    <w:p>
      <w:pPr>
        <w:pStyle w:val="Compact"/>
        <w:numPr>
          <w:ilvl w:val="0"/>
          <w:numId w:val="1024"/>
        </w:numPr>
      </w:pPr>
      <w:r>
        <w:t xml:space="preserve">performance information is reproducible</w:t>
      </w:r>
    </w:p>
    <w:p>
      <w:pPr>
        <w:pStyle w:val="Compact"/>
        <w:numPr>
          <w:ilvl w:val="0"/>
          <w:numId w:val="1024"/>
        </w:numPr>
      </w:pPr>
      <w:r>
        <w:t xml:space="preserve">reports can be generated</w:t>
      </w:r>
    </w:p>
    <w:p>
      <w:pPr>
        <w:pStyle w:val="Compact"/>
        <w:numPr>
          <w:ilvl w:val="0"/>
          <w:numId w:val="1024"/>
        </w:numPr>
      </w:pPr>
      <w:r>
        <w:t xml:space="preserve">historical information remains traceable</w:t>
      </w:r>
    </w:p>
    <w:p>
      <w:r>
        <w:pict>
          <v:rect style="width:0;height:1.5pt" o:hralign="center" o:hrstd="t" o:hr="t"/>
        </w:pict>
      </w:r>
    </w:p>
    <w:bookmarkEnd w:id="19"/>
    <w:bookmarkStart w:id="20" w:name="X3744a7676e62667ea10aa6cb1ba6cf96b84b230"/>
    <w:p>
      <w:pPr>
        <w:pStyle w:val="Heading1"/>
      </w:pPr>
      <w:r>
        <w:t xml:space="preserve">Phase 9 – Strategy and Automation Capabilities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Extend the Trading Cockpit with systematic and semi-automated workflows.</w:t>
      </w:r>
    </w:p>
    <w:p>
      <w:pPr>
        <w:pStyle w:val="BodyText"/>
      </w:pPr>
      <w:r>
        <w:t xml:space="preserve">Major capabilities:</w:t>
      </w:r>
    </w:p>
    <w:p>
      <w:pPr>
        <w:pStyle w:val="Compact"/>
        <w:numPr>
          <w:ilvl w:val="0"/>
          <w:numId w:val="1025"/>
        </w:numPr>
      </w:pPr>
      <w:r>
        <w:t xml:space="preserve">Strategy Engine</w:t>
      </w:r>
    </w:p>
    <w:p>
      <w:pPr>
        <w:pStyle w:val="Compact"/>
        <w:numPr>
          <w:ilvl w:val="0"/>
          <w:numId w:val="1025"/>
        </w:numPr>
      </w:pPr>
      <w:r>
        <w:t xml:space="preserve">Signal Processing</w:t>
      </w:r>
    </w:p>
    <w:p>
      <w:pPr>
        <w:pStyle w:val="Compact"/>
        <w:numPr>
          <w:ilvl w:val="0"/>
          <w:numId w:val="1025"/>
        </w:numPr>
      </w:pPr>
      <w:r>
        <w:t xml:space="preserve">Backtesting</w:t>
      </w:r>
    </w:p>
    <w:p>
      <w:pPr>
        <w:pStyle w:val="Compact"/>
        <w:numPr>
          <w:ilvl w:val="0"/>
          <w:numId w:val="1025"/>
        </w:numPr>
      </w:pPr>
      <w:r>
        <w:t xml:space="preserve">Paper Trading</w:t>
      </w:r>
    </w:p>
    <w:p>
      <w:pPr>
        <w:pStyle w:val="Compact"/>
        <w:numPr>
          <w:ilvl w:val="0"/>
          <w:numId w:val="1025"/>
        </w:numPr>
      </w:pPr>
      <w:r>
        <w:t xml:space="preserve">Strategy Evaluation</w:t>
      </w:r>
    </w:p>
    <w:p>
      <w:pPr>
        <w:pStyle w:val="Compact"/>
        <w:numPr>
          <w:ilvl w:val="0"/>
          <w:numId w:val="1025"/>
        </w:numPr>
      </w:pPr>
      <w:r>
        <w:t xml:space="preserve">Controlled Automation</w:t>
      </w:r>
    </w:p>
    <w:p>
      <w:pPr>
        <w:pStyle w:val="Compact"/>
        <w:numPr>
          <w:ilvl w:val="0"/>
          <w:numId w:val="1025"/>
        </w:numPr>
      </w:pPr>
      <w:r>
        <w:t xml:space="preserve">Optimization</w:t>
      </w:r>
    </w:p>
    <w:p>
      <w:pPr>
        <w:pStyle w:val="FirstParagraph"/>
      </w:pPr>
      <w:r>
        <w:t xml:space="preserve">Automation shall remain transparent and observable.</w:t>
      </w:r>
    </w:p>
    <w:p>
      <w:pPr>
        <w:pStyle w:val="BodyText"/>
      </w:pPr>
      <w:r>
        <w:t xml:space="preserve">Autonomous trading is not introduced implicitly.</w:t>
      </w:r>
    </w:p>
    <w:p>
      <w:pPr>
        <w:pStyle w:val="BodyText"/>
      </w:pPr>
      <w:r>
        <w:t xml:space="preserve">Product outcome:</w:t>
      </w:r>
    </w:p>
    <w:p>
      <w:pPr>
        <w:pStyle w:val="BodyText"/>
      </w:pPr>
      <w:r>
        <w:t xml:space="preserve">Systematic workflows can reuse the same market, portfolio, risk and execution capabilities as manual trading workflows.</w:t>
      </w:r>
    </w:p>
    <w:p>
      <w:r>
        <w:pict>
          <v:rect style="width:0;height:1.5pt" o:hralign="center" o:hrstd="t" o:hr="t"/>
        </w:pict>
      </w:r>
    </w:p>
    <w:bookmarkEnd w:id="20"/>
    <w:bookmarkStart w:id="21" w:name="phase-10-platform-ecosystem"/>
    <w:p>
      <w:pPr>
        <w:pStyle w:val="Heading1"/>
      </w:pPr>
      <w:r>
        <w:t xml:space="preserve">Phase 10 – Platform Ecosystem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Extend the established Trading Cockpit platform.</w:t>
      </w:r>
    </w:p>
    <w:p>
      <w:pPr>
        <w:pStyle w:val="BodyText"/>
      </w:pPr>
      <w:r>
        <w:t xml:space="preserve">Potential capabilities:</w:t>
      </w:r>
    </w:p>
    <w:p>
      <w:pPr>
        <w:pStyle w:val="Compact"/>
        <w:numPr>
          <w:ilvl w:val="0"/>
          <w:numId w:val="1026"/>
        </w:numPr>
      </w:pPr>
      <w:r>
        <w:t xml:space="preserve">Plugin SDK</w:t>
      </w:r>
    </w:p>
    <w:p>
      <w:pPr>
        <w:pStyle w:val="Compact"/>
        <w:numPr>
          <w:ilvl w:val="0"/>
          <w:numId w:val="1026"/>
        </w:numPr>
      </w:pPr>
      <w:r>
        <w:t xml:space="preserve">Public APIs</w:t>
      </w:r>
    </w:p>
    <w:p>
      <w:pPr>
        <w:pStyle w:val="Compact"/>
        <w:numPr>
          <w:ilvl w:val="0"/>
          <w:numId w:val="1026"/>
        </w:numPr>
      </w:pPr>
      <w:r>
        <w:t xml:space="preserve">Scripting</w:t>
      </w:r>
    </w:p>
    <w:p>
      <w:pPr>
        <w:pStyle w:val="Compact"/>
        <w:numPr>
          <w:ilvl w:val="0"/>
          <w:numId w:val="1026"/>
        </w:numPr>
      </w:pPr>
      <w:r>
        <w:t xml:space="preserve">Import and Export</w:t>
      </w:r>
    </w:p>
    <w:p>
      <w:pPr>
        <w:pStyle w:val="Compact"/>
        <w:numPr>
          <w:ilvl w:val="0"/>
          <w:numId w:val="1026"/>
        </w:numPr>
      </w:pPr>
      <w:r>
        <w:t xml:space="preserve">Additional broker integrations</w:t>
      </w:r>
    </w:p>
    <w:p>
      <w:pPr>
        <w:pStyle w:val="Compact"/>
        <w:numPr>
          <w:ilvl w:val="0"/>
          <w:numId w:val="1026"/>
        </w:numPr>
      </w:pPr>
      <w:r>
        <w:t xml:space="preserve">Advanced Analytics</w:t>
      </w:r>
    </w:p>
    <w:p>
      <w:pPr>
        <w:pStyle w:val="Compact"/>
        <w:numPr>
          <w:ilvl w:val="0"/>
          <w:numId w:val="1026"/>
        </w:numPr>
      </w:pPr>
      <w:r>
        <w:t xml:space="preserve">AI-assisted Decision Support</w:t>
      </w:r>
    </w:p>
    <w:p>
      <w:pPr>
        <w:pStyle w:val="Compact"/>
        <w:numPr>
          <w:ilvl w:val="0"/>
          <w:numId w:val="1026"/>
        </w:numPr>
      </w:pPr>
      <w:r>
        <w:t xml:space="preserve">Cloud readiness</w:t>
      </w:r>
    </w:p>
    <w:p>
      <w:pPr>
        <w:pStyle w:val="FirstParagraph"/>
      </w:pPr>
      <w:r>
        <w:t xml:space="preserve">These capabilities shall only be introduced when justified by concrete product requirements.</w:t>
      </w:r>
    </w:p>
    <w:p>
      <w:r>
        <w:pict>
          <v:rect style="width:0;height:1.5pt" o:hralign="center" o:hrstd="t" o:hr="t"/>
        </w:pict>
      </w:r>
    </w:p>
    <w:bookmarkEnd w:id="21"/>
    <w:bookmarkStart w:id="22" w:name="continuous-product-activities"/>
    <w:p>
      <w:pPr>
        <w:pStyle w:val="Heading1"/>
      </w:pPr>
      <w:r>
        <w:t xml:space="preserve">Continuous Product Activities</w:t>
      </w:r>
    </w:p>
    <w:p>
      <w:pPr>
        <w:pStyle w:val="FirstParagraph"/>
      </w:pPr>
      <w:r>
        <w:t xml:space="preserve">The following activities continue throughout every phase:</w:t>
      </w:r>
    </w:p>
    <w:p>
      <w:pPr>
        <w:pStyle w:val="Compact"/>
        <w:numPr>
          <w:ilvl w:val="0"/>
          <w:numId w:val="1027"/>
        </w:numPr>
      </w:pPr>
      <w:r>
        <w:t xml:space="preserve">Product validation</w:t>
      </w:r>
    </w:p>
    <w:p>
      <w:pPr>
        <w:pStyle w:val="Compact"/>
        <w:numPr>
          <w:ilvl w:val="0"/>
          <w:numId w:val="1027"/>
        </w:numPr>
      </w:pPr>
      <w:r>
        <w:t xml:space="preserve">Architecture review</w:t>
      </w:r>
    </w:p>
    <w:p>
      <w:pPr>
        <w:pStyle w:val="Compact"/>
        <w:numPr>
          <w:ilvl w:val="0"/>
          <w:numId w:val="1027"/>
        </w:numPr>
      </w:pPr>
      <w:r>
        <w:t xml:space="preserve">Refactoring</w:t>
      </w:r>
    </w:p>
    <w:p>
      <w:pPr>
        <w:pStyle w:val="Compact"/>
        <w:numPr>
          <w:ilvl w:val="0"/>
          <w:numId w:val="1027"/>
        </w:numPr>
      </w:pPr>
      <w:r>
        <w:t xml:space="preserve">Documentation</w:t>
      </w:r>
    </w:p>
    <w:p>
      <w:pPr>
        <w:pStyle w:val="Compact"/>
        <w:numPr>
          <w:ilvl w:val="0"/>
          <w:numId w:val="1027"/>
        </w:numPr>
      </w:pPr>
      <w:r>
        <w:t xml:space="preserve">Testing</w:t>
      </w:r>
    </w:p>
    <w:p>
      <w:pPr>
        <w:pStyle w:val="Compact"/>
        <w:numPr>
          <w:ilvl w:val="0"/>
          <w:numId w:val="1027"/>
        </w:numPr>
      </w:pPr>
      <w:r>
        <w:t xml:space="preserve">Performance improvement</w:t>
      </w:r>
    </w:p>
    <w:p>
      <w:pPr>
        <w:pStyle w:val="Compact"/>
        <w:numPr>
          <w:ilvl w:val="0"/>
          <w:numId w:val="1027"/>
        </w:numPr>
      </w:pPr>
      <w:r>
        <w:t xml:space="preserve">Security improvement</w:t>
      </w:r>
    </w:p>
    <w:p>
      <w:pPr>
        <w:pStyle w:val="Compact"/>
        <w:numPr>
          <w:ilvl w:val="0"/>
          <w:numId w:val="1027"/>
        </w:numPr>
      </w:pPr>
      <w:r>
        <w:t xml:space="preserve">Observability improvement</w:t>
      </w:r>
    </w:p>
    <w:p>
      <w:pPr>
        <w:pStyle w:val="Compact"/>
        <w:numPr>
          <w:ilvl w:val="0"/>
          <w:numId w:val="1027"/>
        </w:numPr>
      </w:pPr>
      <w:r>
        <w:t xml:space="preserve">CI/CD improvement</w:t>
      </w:r>
    </w:p>
    <w:p>
      <w:pPr>
        <w:pStyle w:val="Compact"/>
        <w:numPr>
          <w:ilvl w:val="0"/>
          <w:numId w:val="1027"/>
        </w:numPr>
      </w:pPr>
      <w:r>
        <w:t xml:space="preserve">Technical debt reduction</w:t>
      </w:r>
    </w:p>
    <w:p>
      <w:r>
        <w:pict>
          <v:rect style="width:0;height:1.5pt" o:hralign="center" o:hrstd="t" o:hr="t"/>
        </w:pict>
      </w:r>
    </w:p>
    <w:bookmarkEnd w:id="22"/>
    <w:bookmarkStart w:id="23" w:name="prioritization-principles"/>
    <w:p>
      <w:pPr>
        <w:pStyle w:val="Heading1"/>
      </w:pPr>
      <w:r>
        <w:t xml:space="preserve">Prioritization Principles</w:t>
      </w:r>
    </w:p>
    <w:p>
      <w:pPr>
        <w:pStyle w:val="FirstParagraph"/>
      </w:pPr>
      <w:r>
        <w:t xml:space="preserve">Product capabilities shall be prioritized by:</w:t>
      </w:r>
    </w:p>
    <w:p>
      <w:pPr>
        <w:pStyle w:val="Compact"/>
        <w:numPr>
          <w:ilvl w:val="0"/>
          <w:numId w:val="1028"/>
        </w:numPr>
      </w:pPr>
      <w:r>
        <w:t xml:space="preserve">Trading workflow value</w:t>
      </w:r>
    </w:p>
    <w:p>
      <w:pPr>
        <w:pStyle w:val="Compact"/>
        <w:numPr>
          <w:ilvl w:val="0"/>
          <w:numId w:val="1028"/>
        </w:numPr>
      </w:pPr>
      <w:r>
        <w:t xml:space="preserve">User value</w:t>
      </w:r>
    </w:p>
    <w:p>
      <w:pPr>
        <w:pStyle w:val="Compact"/>
        <w:numPr>
          <w:ilvl w:val="0"/>
          <w:numId w:val="1028"/>
        </w:numPr>
      </w:pPr>
      <w:r>
        <w:t xml:space="preserve">Risk reduction</w:t>
      </w:r>
    </w:p>
    <w:p>
      <w:pPr>
        <w:pStyle w:val="Compact"/>
        <w:numPr>
          <w:ilvl w:val="0"/>
          <w:numId w:val="1028"/>
        </w:numPr>
      </w:pPr>
      <w:r>
        <w:t xml:space="preserve">Technical dependency</w:t>
      </w:r>
    </w:p>
    <w:p>
      <w:pPr>
        <w:pStyle w:val="Compact"/>
        <w:numPr>
          <w:ilvl w:val="0"/>
          <w:numId w:val="1028"/>
        </w:numPr>
      </w:pPr>
      <w:r>
        <w:t xml:space="preserve">Architectural impact</w:t>
      </w:r>
    </w:p>
    <w:p>
      <w:pPr>
        <w:pStyle w:val="Compact"/>
        <w:numPr>
          <w:ilvl w:val="0"/>
          <w:numId w:val="1028"/>
        </w:numPr>
      </w:pPr>
      <w:r>
        <w:t xml:space="preserve">Maintainability</w:t>
      </w:r>
    </w:p>
    <w:p>
      <w:pPr>
        <w:pStyle w:val="FirstParagraph"/>
      </w:pPr>
      <w:r>
        <w:t xml:space="preserve">Avoid implementing platform capabilities without a defined product use case.</w:t>
      </w:r>
    </w:p>
    <w:p>
      <w:pPr>
        <w:pStyle w:val="BodyText"/>
      </w:pPr>
      <w:r>
        <w:t xml:space="preserve">Avoid implementing isolated widgets without a defined trading workflow.</w:t>
      </w:r>
    </w:p>
    <w:p>
      <w:r>
        <w:pict>
          <v:rect style="width:0;height:1.5pt" o:hralign="center" o:hrstd="t" o:hr="t"/>
        </w:pict>
      </w:r>
    </w:p>
    <w:bookmarkEnd w:id="23"/>
    <w:bookmarkStart w:id="24" w:name="increment-strategy"/>
    <w:p>
      <w:pPr>
        <w:pStyle w:val="Heading1"/>
      </w:pPr>
      <w:r>
        <w:t xml:space="preserve">Increment Strategy</w:t>
      </w:r>
    </w:p>
    <w:p>
      <w:pPr>
        <w:pStyle w:val="FirstParagraph"/>
      </w:pPr>
      <w:r>
        <w:t xml:space="preserve">Each phase should deliver a usable and testable product increment.</w:t>
      </w:r>
    </w:p>
    <w:p>
      <w:pPr>
        <w:pStyle w:val="BodyText"/>
      </w:pPr>
      <w:r>
        <w:t xml:space="preserve">Development should prefer vertical product slices.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Market Data → Watchlist → Instrument Selection → Chart Context</w:t>
      </w:r>
    </w:p>
    <w:p>
      <w:pPr>
        <w:pStyle w:val="BodyText"/>
      </w:pPr>
      <w:r>
        <w:t xml:space="preserve">is preferred over independently completing every possible Market Data infrastructure capability before exposing product functionality.</w:t>
      </w:r>
    </w:p>
    <w:p>
      <w:pPr>
        <w:pStyle w:val="BodyText"/>
      </w:pPr>
      <w:r>
        <w:t xml:space="preserve">Platform services shall evolve together with product workflows.</w:t>
      </w:r>
    </w:p>
    <w:p>
      <w:r>
        <w:pict>
          <v:rect style="width:0;height:1.5pt" o:hralign="center" o:hrstd="t" o:hr="t"/>
        </w:pict>
      </w:r>
    </w:p>
    <w:bookmarkEnd w:id="24"/>
    <w:bookmarkStart w:id="25" w:name="release-strategy"/>
    <w:p>
      <w:pPr>
        <w:pStyle w:val="Heading1"/>
      </w:pPr>
      <w:r>
        <w:t xml:space="preserve">Release Strategy</w:t>
      </w:r>
    </w:p>
    <w:p>
      <w:pPr>
        <w:pStyle w:val="FirstParagraph"/>
      </w:pPr>
      <w:r>
        <w:t xml:space="preserve">Each roadmap phase should conclude with:</w:t>
      </w:r>
    </w:p>
    <w:p>
      <w:pPr>
        <w:pStyle w:val="Compact"/>
        <w:numPr>
          <w:ilvl w:val="0"/>
          <w:numId w:val="1029"/>
        </w:numPr>
      </w:pPr>
      <w:r>
        <w:t xml:space="preserve">product review</w:t>
      </w:r>
    </w:p>
    <w:p>
      <w:pPr>
        <w:pStyle w:val="Compact"/>
        <w:numPr>
          <w:ilvl w:val="0"/>
          <w:numId w:val="1029"/>
        </w:numPr>
      </w:pPr>
      <w:r>
        <w:t xml:space="preserve">architecture review</w:t>
      </w:r>
    </w:p>
    <w:p>
      <w:pPr>
        <w:pStyle w:val="Compact"/>
        <w:numPr>
          <w:ilvl w:val="0"/>
          <w:numId w:val="1029"/>
        </w:numPr>
      </w:pPr>
      <w:r>
        <w:t xml:space="preserve">documentation review</w:t>
      </w:r>
    </w:p>
    <w:p>
      <w:pPr>
        <w:pStyle w:val="Compact"/>
        <w:numPr>
          <w:ilvl w:val="0"/>
          <w:numId w:val="1029"/>
        </w:numPr>
      </w:pPr>
      <w:r>
        <w:t xml:space="preserve">testing completion</w:t>
      </w:r>
    </w:p>
    <w:p>
      <w:pPr>
        <w:pStyle w:val="Compact"/>
        <w:numPr>
          <w:ilvl w:val="0"/>
          <w:numId w:val="1029"/>
        </w:numPr>
      </w:pPr>
      <w:r>
        <w:t xml:space="preserve">operational readiness assessment</w:t>
      </w:r>
    </w:p>
    <w:p>
      <w:pPr>
        <w:pStyle w:val="Compact"/>
        <w:numPr>
          <w:ilvl w:val="0"/>
          <w:numId w:val="1029"/>
        </w:numPr>
      </w:pPr>
      <w:r>
        <w:t xml:space="preserve">release readiness assessment</w:t>
      </w:r>
    </w:p>
    <w:p>
      <w:pPr>
        <w:pStyle w:val="FirstParagraph"/>
      </w:pPr>
      <w:r>
        <w:t xml:space="preserve">Major product increments should provide a stable foundation for the next workflow.</w:t>
      </w:r>
    </w:p>
    <w:p>
      <w:r>
        <w:pict>
          <v:rect style="width:0;height:1.5pt" o:hralign="center" o:hrstd="t" o:hr="t"/>
        </w:pict>
      </w:r>
    </w:p>
    <w:bookmarkEnd w:id="25"/>
    <w:bookmarkStart w:id="26" w:name="success-indicators"/>
    <w:p>
      <w:pPr>
        <w:pStyle w:val="Heading1"/>
      </w:pPr>
      <w:r>
        <w:t xml:space="preserve">Success Indicators</w:t>
      </w:r>
    </w:p>
    <w:p>
      <w:pPr>
        <w:pStyle w:val="FirstParagraph"/>
      </w:pPr>
      <w:r>
        <w:t xml:space="preserve">The roadmap is successful when:</w:t>
      </w:r>
    </w:p>
    <w:p>
      <w:pPr>
        <w:pStyle w:val="Compact"/>
        <w:numPr>
          <w:ilvl w:val="0"/>
          <w:numId w:val="1030"/>
        </w:numPr>
      </w:pPr>
      <w:r>
        <w:t xml:space="preserve">the Trading Cockpit provides usable product increments</w:t>
      </w:r>
    </w:p>
    <w:p>
      <w:pPr>
        <w:pStyle w:val="Compact"/>
        <w:numPr>
          <w:ilvl w:val="0"/>
          <w:numId w:val="1030"/>
        </w:numPr>
      </w:pPr>
      <w:r>
        <w:t xml:space="preserve">core trading workflows become progressively integrated</w:t>
      </w:r>
    </w:p>
    <w:p>
      <w:pPr>
        <w:pStyle w:val="Compact"/>
        <w:numPr>
          <w:ilvl w:val="0"/>
          <w:numId w:val="1030"/>
        </w:numPr>
      </w:pPr>
      <w:r>
        <w:t xml:space="preserve">unnecessary tool switching is reduced</w:t>
      </w:r>
    </w:p>
    <w:p>
      <w:pPr>
        <w:pStyle w:val="Compact"/>
        <w:numPr>
          <w:ilvl w:val="0"/>
          <w:numId w:val="1030"/>
        </w:numPr>
      </w:pPr>
      <w:r>
        <w:t xml:space="preserve">user context is preserved across widgets</w:t>
      </w:r>
    </w:p>
    <w:p>
      <w:pPr>
        <w:pStyle w:val="Compact"/>
        <w:numPr>
          <w:ilvl w:val="0"/>
          <w:numId w:val="1030"/>
        </w:numPr>
      </w:pPr>
      <w:r>
        <w:t xml:space="preserve">application behaviour remains deterministic</w:t>
      </w:r>
    </w:p>
    <w:p>
      <w:pPr>
        <w:pStyle w:val="Compact"/>
        <w:numPr>
          <w:ilvl w:val="0"/>
          <w:numId w:val="1030"/>
        </w:numPr>
      </w:pPr>
      <w:r>
        <w:t xml:space="preserve">architecture remains maintainable</w:t>
      </w:r>
    </w:p>
    <w:p>
      <w:pPr>
        <w:pStyle w:val="Compact"/>
        <w:numPr>
          <w:ilvl w:val="0"/>
          <w:numId w:val="1030"/>
        </w:numPr>
      </w:pPr>
      <w:r>
        <w:t xml:space="preserve">documentation stays synchronized</w:t>
      </w:r>
    </w:p>
    <w:p>
      <w:pPr>
        <w:pStyle w:val="Compact"/>
        <w:numPr>
          <w:ilvl w:val="0"/>
          <w:numId w:val="1030"/>
        </w:numPr>
      </w:pPr>
      <w:r>
        <w:t xml:space="preserve">automated quality assurance remains operational</w:t>
      </w:r>
    </w:p>
    <w:p>
      <w:r>
        <w:pict>
          <v:rect style="width:0;height:1.5pt" o:hralign="center" o:hrstd="t" o:hr="t"/>
        </w:pict>
      </w:r>
    </w:p>
    <w:bookmarkEnd w:id="26"/>
    <w:bookmarkStart w:id="27" w:name="roadmap-governance"/>
    <w:p>
      <w:pPr>
        <w:pStyle w:val="Heading1"/>
      </w:pPr>
      <w:r>
        <w:t xml:space="preserve">Roadmap Governance</w:t>
      </w:r>
    </w:p>
    <w:p>
      <w:pPr>
        <w:pStyle w:val="FirstParagraph"/>
      </w:pPr>
      <w:r>
        <w:t xml:space="preserve">The Product Roadmap is a living product document.</w:t>
      </w:r>
    </w:p>
    <w:p>
      <w:pPr>
        <w:pStyle w:val="BodyText"/>
      </w:pPr>
      <w:r>
        <w:t xml:space="preserve">Review it:</w:t>
      </w:r>
    </w:p>
    <w:p>
      <w:pPr>
        <w:pStyle w:val="Compact"/>
        <w:numPr>
          <w:ilvl w:val="0"/>
          <w:numId w:val="1031"/>
        </w:numPr>
      </w:pPr>
      <w:r>
        <w:t xml:space="preserve">after each product phase</w:t>
      </w:r>
    </w:p>
    <w:p>
      <w:pPr>
        <w:pStyle w:val="Compact"/>
        <w:numPr>
          <w:ilvl w:val="0"/>
          <w:numId w:val="1031"/>
        </w:numPr>
      </w:pPr>
      <w:r>
        <w:t xml:space="preserve">after significant user workflow findings</w:t>
      </w:r>
    </w:p>
    <w:p>
      <w:pPr>
        <w:pStyle w:val="Compact"/>
        <w:numPr>
          <w:ilvl w:val="0"/>
          <w:numId w:val="1031"/>
        </w:numPr>
      </w:pPr>
      <w:r>
        <w:t xml:space="preserve">after major architectural decisions</w:t>
      </w:r>
    </w:p>
    <w:p>
      <w:pPr>
        <w:pStyle w:val="Compact"/>
        <w:numPr>
          <w:ilvl w:val="0"/>
          <w:numId w:val="1031"/>
        </w:numPr>
      </w:pPr>
      <w:r>
        <w:t xml:space="preserve">when product priorities change</w:t>
      </w:r>
    </w:p>
    <w:p>
      <w:pPr>
        <w:pStyle w:val="FirstParagraph"/>
      </w:pPr>
      <w:r>
        <w:t xml:space="preserve">Major roadmap changes shall be documented in the Decision Log where appropriate.</w:t>
      </w:r>
    </w:p>
    <w:p>
      <w:r>
        <w:pict>
          <v:rect style="width:0;height:1.5pt" o:hralign="center" o:hrstd="t" o:hr="t"/>
        </w:pict>
      </w:r>
    </w:p>
    <w:bookmarkEnd w:id="27"/>
    <w:bookmarkStart w:id="28" w:name="roadmap-review-checklist"/>
    <w:p>
      <w:pPr>
        <w:pStyle w:val="Heading1"/>
      </w:pPr>
      <w:r>
        <w:t xml:space="preserve">Roadmap Review Checklist</w:t>
      </w:r>
    </w:p>
    <w:p>
      <w:pPr>
        <w:pStyle w:val="FirstParagraph"/>
      </w:pPr>
      <w:r>
        <w:t xml:space="preserve">Before starting a new product phase verify:</w:t>
      </w:r>
    </w:p>
    <w:p>
      <w:pPr>
        <w:pStyle w:val="Compact"/>
        <w:numPr>
          <w:ilvl w:val="0"/>
          <w:numId w:val="1032"/>
        </w:numPr>
      </w:pPr>
      <w:r>
        <w:t xml:space="preserve">previous exit criteria reviewed</w:t>
      </w:r>
    </w:p>
    <w:p>
      <w:pPr>
        <w:pStyle w:val="Compact"/>
        <w:numPr>
          <w:ilvl w:val="0"/>
          <w:numId w:val="1032"/>
        </w:numPr>
      </w:pPr>
      <w:r>
        <w:t xml:space="preserve">target user workflow defined</w:t>
      </w:r>
    </w:p>
    <w:p>
      <w:pPr>
        <w:pStyle w:val="Compact"/>
        <w:numPr>
          <w:ilvl w:val="0"/>
          <w:numId w:val="1032"/>
        </w:numPr>
      </w:pPr>
      <w:r>
        <w:t xml:space="preserve">expected product outcome documented</w:t>
      </w:r>
    </w:p>
    <w:p>
      <w:pPr>
        <w:pStyle w:val="Compact"/>
        <w:numPr>
          <w:ilvl w:val="0"/>
          <w:numId w:val="1032"/>
        </w:numPr>
      </w:pPr>
      <w:r>
        <w:t xml:space="preserve">technical dependencies identified</w:t>
      </w:r>
    </w:p>
    <w:p>
      <w:pPr>
        <w:pStyle w:val="Compact"/>
        <w:numPr>
          <w:ilvl w:val="0"/>
          <w:numId w:val="1032"/>
        </w:numPr>
      </w:pPr>
      <w:r>
        <w:t xml:space="preserve">architecture impact evaluated</w:t>
      </w:r>
    </w:p>
    <w:p>
      <w:pPr>
        <w:pStyle w:val="Compact"/>
        <w:numPr>
          <w:ilvl w:val="0"/>
          <w:numId w:val="1032"/>
        </w:numPr>
      </w:pPr>
      <w:r>
        <w:t xml:space="preserve">documentation synchronized</w:t>
      </w:r>
    </w:p>
    <w:p>
      <w:pPr>
        <w:pStyle w:val="Compact"/>
        <w:numPr>
          <w:ilvl w:val="0"/>
          <w:numId w:val="1032"/>
        </w:numPr>
      </w:pPr>
      <w:r>
        <w:t xml:space="preserve">quality goals defined</w:t>
      </w:r>
    </w:p>
    <w:p>
      <w:pPr>
        <w:pStyle w:val="Compact"/>
        <w:numPr>
          <w:ilvl w:val="0"/>
          <w:numId w:val="1032"/>
        </w:numPr>
      </w:pPr>
      <w:r>
        <w:t xml:space="preserve">implementation priority confirmed</w:t>
      </w:r>
    </w:p>
    <w:p>
      <w:r>
        <w:pict>
          <v:rect style="width:0;height:1.5pt" o:hralign="center" o:hrstd="t" o:hr="t"/>
        </w:pict>
      </w:r>
    </w:p>
    <w:bookmarkEnd w:id="28"/>
    <w:bookmarkStart w:id="29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33"/>
        </w:numPr>
      </w:pPr>
      <w:r>
        <w:t xml:space="preserve">Product_Vision.md</w:t>
      </w:r>
    </w:p>
    <w:p>
      <w:pPr>
        <w:pStyle w:val="Compact"/>
        <w:numPr>
          <w:ilvl w:val="0"/>
          <w:numId w:val="1033"/>
        </w:numPr>
      </w:pPr>
      <w:r>
        <w:t xml:space="preserve">Project_Overview.md</w:t>
      </w:r>
    </w:p>
    <w:p>
      <w:pPr>
        <w:pStyle w:val="Compact"/>
        <w:numPr>
          <w:ilvl w:val="0"/>
          <w:numId w:val="1033"/>
        </w:numPr>
      </w:pPr>
      <w:r>
        <w:t xml:space="preserve">Architecture.md</w:t>
      </w:r>
    </w:p>
    <w:p>
      <w:pPr>
        <w:pStyle w:val="Compact"/>
        <w:numPr>
          <w:ilvl w:val="0"/>
          <w:numId w:val="1033"/>
        </w:numPr>
      </w:pPr>
      <w:r>
        <w:t xml:space="preserve">Roadmap.md</w:t>
      </w:r>
    </w:p>
    <w:p>
      <w:pPr>
        <w:pStyle w:val="Compact"/>
        <w:numPr>
          <w:ilvl w:val="0"/>
          <w:numId w:val="1033"/>
        </w:numPr>
      </w:pPr>
      <w:r>
        <w:t xml:space="preserve">Widget_Catalog.md</w:t>
      </w:r>
    </w:p>
    <w:p>
      <w:pPr>
        <w:pStyle w:val="Compact"/>
        <w:numPr>
          <w:ilvl w:val="0"/>
          <w:numId w:val="1033"/>
        </w:numPr>
      </w:pPr>
      <w:r>
        <w:t xml:space="preserve">UI_Guidelines.md</w:t>
      </w:r>
    </w:p>
    <w:p>
      <w:pPr>
        <w:pStyle w:val="Compact"/>
        <w:numPr>
          <w:ilvl w:val="0"/>
          <w:numId w:val="1033"/>
        </w:numPr>
      </w:pPr>
      <w:r>
        <w:t xml:space="preserve">Decision_Log.md</w:t>
      </w:r>
    </w:p>
    <w:p>
      <w:pPr>
        <w:pStyle w:val="Compact"/>
        <w:numPr>
          <w:ilvl w:val="0"/>
          <w:numId w:val="1033"/>
        </w:numPr>
      </w:pPr>
      <w:r>
        <w:t xml:space="preserve">AGENTS.md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2026-07-06T17:14:03Z</dcterms:created>
  <dcterms:modified xsi:type="dcterms:W3CDTF">2026-07-06T17:14:03Z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