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Trading Platform Pro</w:t>
      </w:r>
    </w:p>
    <w:p>
      <w:pPr>
        <w:pStyle w:val="BodyText"/>
      </w:pPr>
      <w:r>
        <w:rPr>
          <w:b/>
          <w:bCs/>
        </w:rPr>
        <w:t xml:space="preserve">Primary Application:</w:t>
      </w:r>
      <w:r>
        <w:t xml:space="preserve"> </w:t>
      </w:r>
      <w:r>
        <w:t xml:space="preserve">Trading Cockpit</w:t>
      </w:r>
    </w:p>
    <w:p>
      <w:pPr>
        <w:pStyle w:val="BodyText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Trading Platform Pro is the software foundation for the professional desktop application</w:t>
      </w:r>
      <w:r>
        <w:t xml:space="preserve"> </w:t>
      </w:r>
      <w:r>
        <w:rPr>
          <w:b/>
          <w:bCs/>
        </w:rPr>
        <w:t xml:space="preserve">Trading Cockpit</w:t>
      </w:r>
      <w:r>
        <w:t xml:space="preserve">.</w:t>
      </w:r>
    </w:p>
    <w:p>
      <w:pPr>
        <w:pStyle w:val="BodyText"/>
      </w:pPr>
      <w:r>
        <w:t xml:space="preserve">The Trading Cockpit is the primary product.</w:t>
      </w:r>
    </w:p>
    <w:p>
      <w:pPr>
        <w:pStyle w:val="BodyText"/>
      </w:pPr>
      <w:r>
        <w:t xml:space="preserve">It provides a unified workspace for market observation, trading candidate evaluation, decision support, portfolio and risk context, order management, position monitoring and trading review.</w:t>
      </w:r>
    </w:p>
    <w:p>
      <w:pPr>
        <w:pStyle w:val="BodyText"/>
      </w:pPr>
      <w:r>
        <w:t xml:space="preserve">Platform capabilities shall evolve from concrete Trading Cockpit workflows and product requirements.</w:t>
      </w:r>
    </w:p>
    <w:p>
      <w:r>
        <w:pict>
          <v:rect style="width:0;height:1.5pt" o:hralign="center" o:hrstd="t" o:hr="t"/>
        </w:pict>
      </w:r>
    </w:p>
    <w:bookmarkEnd w:id="10"/>
    <w:bookmarkStart w:id="11" w:name="product-direction"/>
    <w:p>
      <w:pPr>
        <w:pStyle w:val="Heading1"/>
      </w:pPr>
      <w:r>
        <w:t xml:space="preserve">Product Direction</w:t>
      </w:r>
    </w:p>
    <w:p>
      <w:pPr>
        <w:pStyle w:val="FirstParagraph"/>
      </w:pPr>
      <w:r>
        <w:t xml:space="preserve">The project focuses on building a professional Trading Cockpit for active traders.</w:t>
      </w:r>
    </w:p>
    <w:p>
      <w:pPr>
        <w:pStyle w:val="BodyText"/>
      </w:pPr>
      <w:r>
        <w:t xml:space="preserve">The Trading Cockpit shall reduce fragmentation between trading tools and preserve user context throughout the trading workflow.</w:t>
      </w:r>
    </w:p>
    <w:p>
      <w:pPr>
        <w:pStyle w:val="BodyText"/>
      </w:pPr>
      <w:r>
        <w:t xml:space="preserve">The product shall progressively integrate:</w:t>
      </w:r>
    </w:p>
    <w:p>
      <w:pPr>
        <w:pStyle w:val="Compact"/>
        <w:numPr>
          <w:ilvl w:val="0"/>
          <w:numId w:val="1001"/>
        </w:numPr>
      </w:pPr>
      <w:r>
        <w:t xml:space="preserve">market observation</w:t>
      </w:r>
    </w:p>
    <w:p>
      <w:pPr>
        <w:pStyle w:val="Compact"/>
        <w:numPr>
          <w:ilvl w:val="0"/>
          <w:numId w:val="1001"/>
        </w:numPr>
      </w:pPr>
      <w:r>
        <w:t xml:space="preserve">instrument selection</w:t>
      </w:r>
    </w:p>
    <w:p>
      <w:pPr>
        <w:pStyle w:val="Compact"/>
        <w:numPr>
          <w:ilvl w:val="0"/>
          <w:numId w:val="1001"/>
        </w:numPr>
      </w:pPr>
      <w:r>
        <w:t xml:space="preserve">trading candidate evaluation</w:t>
      </w:r>
    </w:p>
    <w:p>
      <w:pPr>
        <w:pStyle w:val="Compact"/>
        <w:numPr>
          <w:ilvl w:val="0"/>
          <w:numId w:val="1001"/>
        </w:numPr>
      </w:pPr>
      <w:r>
        <w:t xml:space="preserve">portfolio context</w:t>
      </w:r>
    </w:p>
    <w:p>
      <w:pPr>
        <w:pStyle w:val="Compact"/>
        <w:numPr>
          <w:ilvl w:val="0"/>
          <w:numId w:val="1001"/>
        </w:numPr>
      </w:pPr>
      <w:r>
        <w:t xml:space="preserve">risk context</w:t>
      </w:r>
    </w:p>
    <w:p>
      <w:pPr>
        <w:pStyle w:val="Compact"/>
        <w:numPr>
          <w:ilvl w:val="0"/>
          <w:numId w:val="1001"/>
        </w:numPr>
      </w:pPr>
      <w:r>
        <w:t xml:space="preserve">trading decisions</w:t>
      </w:r>
    </w:p>
    <w:p>
      <w:pPr>
        <w:pStyle w:val="Compact"/>
        <w:numPr>
          <w:ilvl w:val="0"/>
          <w:numId w:val="1001"/>
        </w:numPr>
      </w:pPr>
      <w:r>
        <w:t xml:space="preserve">order preparation and execution</w:t>
      </w:r>
    </w:p>
    <w:p>
      <w:pPr>
        <w:pStyle w:val="Compact"/>
        <w:numPr>
          <w:ilvl w:val="0"/>
          <w:numId w:val="1001"/>
        </w:numPr>
      </w:pPr>
      <w:r>
        <w:t xml:space="preserve">position monitoring</w:t>
      </w:r>
    </w:p>
    <w:p>
      <w:pPr>
        <w:pStyle w:val="Compact"/>
        <w:numPr>
          <w:ilvl w:val="0"/>
          <w:numId w:val="1001"/>
        </w:numPr>
      </w:pPr>
      <w:r>
        <w:t xml:space="preserve">trading review</w:t>
      </w:r>
    </w:p>
    <w:p>
      <w:pPr>
        <w:pStyle w:val="FirstParagraph"/>
      </w:pPr>
      <w:r>
        <w:t xml:space="preserve">The user should remain within the Trading Cockpit throughout these workflows whenever practical.</w:t>
      </w:r>
    </w:p>
    <w:p>
      <w:r>
        <w:pict>
          <v:rect style="width:0;height:1.5pt" o:hralign="center" o:hrstd="t" o:hr="t"/>
        </w:pict>
      </w:r>
    </w:p>
    <w:bookmarkEnd w:id="11"/>
    <w:bookmarkStart w:id="12" w:name="primary-trading-workflow"/>
    <w:p>
      <w:pPr>
        <w:pStyle w:val="Heading1"/>
      </w:pPr>
      <w:r>
        <w:t xml:space="preserve">Primary Trading Workflow</w:t>
      </w:r>
    </w:p>
    <w:p>
      <w:pPr>
        <w:pStyle w:val="FirstParagraph"/>
      </w:pPr>
      <w:r>
        <w:t xml:space="preserve">The Trading Cockpit supports the following core workflow:</w:t>
      </w:r>
    </w:p>
    <w:p>
      <w:pPr>
        <w:pStyle w:val="Compact"/>
        <w:numPr>
          <w:ilvl w:val="0"/>
          <w:numId w:val="1002"/>
        </w:numPr>
      </w:pPr>
      <w:r>
        <w:t xml:space="preserve">Observe the market.</w:t>
      </w:r>
    </w:p>
    <w:p>
      <w:pPr>
        <w:pStyle w:val="Compact"/>
        <w:numPr>
          <w:ilvl w:val="0"/>
          <w:numId w:val="1002"/>
        </w:numPr>
      </w:pPr>
      <w:r>
        <w:t xml:space="preserve">Identify relevant instruments.</w:t>
      </w:r>
    </w:p>
    <w:p>
      <w:pPr>
        <w:pStyle w:val="Compact"/>
        <w:numPr>
          <w:ilvl w:val="0"/>
          <w:numId w:val="1002"/>
        </w:numPr>
      </w:pPr>
      <w:r>
        <w:t xml:space="preserve">Evaluate trading candidates.</w:t>
      </w:r>
    </w:p>
    <w:p>
      <w:pPr>
        <w:pStyle w:val="Compact"/>
        <w:numPr>
          <w:ilvl w:val="0"/>
          <w:numId w:val="1002"/>
        </w:numPr>
      </w:pPr>
      <w:r>
        <w:t xml:space="preserve">Review market, portfolio and risk context.</w:t>
      </w:r>
    </w:p>
    <w:p>
      <w:pPr>
        <w:pStyle w:val="Compact"/>
        <w:numPr>
          <w:ilvl w:val="0"/>
          <w:numId w:val="1002"/>
        </w:numPr>
      </w:pPr>
      <w:r>
        <w:t xml:space="preserve">Make a trading decision.</w:t>
      </w:r>
    </w:p>
    <w:p>
      <w:pPr>
        <w:pStyle w:val="Compact"/>
        <w:numPr>
          <w:ilvl w:val="0"/>
          <w:numId w:val="1002"/>
        </w:numPr>
      </w:pPr>
      <w:r>
        <w:t xml:space="preserve">Prepare and validate an order.</w:t>
      </w:r>
    </w:p>
    <w:p>
      <w:pPr>
        <w:pStyle w:val="Compact"/>
        <w:numPr>
          <w:ilvl w:val="0"/>
          <w:numId w:val="1002"/>
        </w:numPr>
      </w:pPr>
      <w:r>
        <w:t xml:space="preserve">Execute and monitor the order.</w:t>
      </w:r>
    </w:p>
    <w:p>
      <w:pPr>
        <w:pStyle w:val="Compact"/>
        <w:numPr>
          <w:ilvl w:val="0"/>
          <w:numId w:val="1002"/>
        </w:numPr>
      </w:pPr>
      <w:r>
        <w:t xml:space="preserve">Monitor the resulting position.</w:t>
      </w:r>
    </w:p>
    <w:p>
      <w:pPr>
        <w:pStyle w:val="Compact"/>
        <w:numPr>
          <w:ilvl w:val="0"/>
          <w:numId w:val="1002"/>
        </w:numPr>
      </w:pPr>
      <w:r>
        <w:t xml:space="preserve">Review the trading outcome.</w:t>
      </w:r>
    </w:p>
    <w:p>
      <w:pPr>
        <w:pStyle w:val="FirstParagraph"/>
      </w:pPr>
      <w:r>
        <w:t xml:space="preserve">Product capabilities shall be designed around this workflow.</w:t>
      </w:r>
    </w:p>
    <w:p>
      <w:r>
        <w:pict>
          <v:rect style="width:0;height:1.5pt" o:hralign="center" o:hrstd="t" o:hr="t"/>
        </w:pict>
      </w:r>
    </w:p>
    <w:bookmarkEnd w:id="12"/>
    <w:bookmarkStart w:id="13" w:name="product-scope"/>
    <w:p>
      <w:pPr>
        <w:pStyle w:val="Heading1"/>
      </w:pPr>
      <w:r>
        <w:t xml:space="preserve">Product Scope</w:t>
      </w:r>
    </w:p>
    <w:p>
      <w:pPr>
        <w:pStyle w:val="FirstParagraph"/>
      </w:pPr>
      <w:r>
        <w:t xml:space="preserve">The initial product focuses on the Trading Cockpit.</w:t>
      </w:r>
    </w:p>
    <w:p>
      <w:pPr>
        <w:pStyle w:val="BodyText"/>
      </w:pPr>
      <w:r>
        <w:t xml:space="preserve">Core capability areas include:</w:t>
      </w:r>
    </w:p>
    <w:p>
      <w:pPr>
        <w:pStyle w:val="Compact"/>
        <w:numPr>
          <w:ilvl w:val="0"/>
          <w:numId w:val="1003"/>
        </w:numPr>
      </w:pPr>
      <w:r>
        <w:t xml:space="preserve">Workspace Management</w:t>
      </w:r>
    </w:p>
    <w:p>
      <w:pPr>
        <w:pStyle w:val="Compact"/>
        <w:numPr>
          <w:ilvl w:val="0"/>
          <w:numId w:val="1003"/>
        </w:numPr>
      </w:pPr>
      <w:r>
        <w:t xml:space="preserve">Market Overview</w:t>
      </w:r>
    </w:p>
    <w:p>
      <w:pPr>
        <w:pStyle w:val="Compact"/>
        <w:numPr>
          <w:ilvl w:val="0"/>
          <w:numId w:val="1003"/>
        </w:numPr>
      </w:pPr>
      <w:r>
        <w:t xml:space="preserve">Watchlists</w:t>
      </w:r>
    </w:p>
    <w:p>
      <w:pPr>
        <w:pStyle w:val="Compact"/>
        <w:numPr>
          <w:ilvl w:val="0"/>
          <w:numId w:val="1003"/>
        </w:numPr>
      </w:pPr>
      <w:r>
        <w:t xml:space="preserve">Market Scanner</w:t>
      </w:r>
    </w:p>
    <w:p>
      <w:pPr>
        <w:pStyle w:val="Compact"/>
        <w:numPr>
          <w:ilvl w:val="0"/>
          <w:numId w:val="1003"/>
        </w:numPr>
      </w:pPr>
      <w:r>
        <w:t xml:space="preserve">Charts</w:t>
      </w:r>
    </w:p>
    <w:p>
      <w:pPr>
        <w:pStyle w:val="Compact"/>
        <w:numPr>
          <w:ilvl w:val="0"/>
          <w:numId w:val="1003"/>
        </w:numPr>
      </w:pPr>
      <w:r>
        <w:t xml:space="preserve">Decision Center</w:t>
      </w:r>
    </w:p>
    <w:p>
      <w:pPr>
        <w:pStyle w:val="Compact"/>
        <w:numPr>
          <w:ilvl w:val="0"/>
          <w:numId w:val="1003"/>
        </w:numPr>
      </w:pPr>
      <w:r>
        <w:t xml:space="preserve">Portfolio Overview</w:t>
      </w:r>
    </w:p>
    <w:p>
      <w:pPr>
        <w:pStyle w:val="Compact"/>
        <w:numPr>
          <w:ilvl w:val="0"/>
          <w:numId w:val="1003"/>
        </w:numPr>
      </w:pPr>
      <w:r>
        <w:t xml:space="preserve">Position Management</w:t>
      </w:r>
    </w:p>
    <w:p>
      <w:pPr>
        <w:pStyle w:val="Compact"/>
        <w:numPr>
          <w:ilvl w:val="0"/>
          <w:numId w:val="1003"/>
        </w:numPr>
      </w:pPr>
      <w:r>
        <w:t xml:space="preserve">Risk Overview</w:t>
      </w:r>
    </w:p>
    <w:p>
      <w:pPr>
        <w:pStyle w:val="Compact"/>
        <w:numPr>
          <w:ilvl w:val="0"/>
          <w:numId w:val="1003"/>
        </w:numPr>
      </w:pPr>
      <w:r>
        <w:t xml:space="preserve">Order Management</w:t>
      </w:r>
    </w:p>
    <w:p>
      <w:pPr>
        <w:pStyle w:val="Compact"/>
        <w:numPr>
          <w:ilvl w:val="0"/>
          <w:numId w:val="1003"/>
        </w:numPr>
      </w:pPr>
      <w:r>
        <w:t xml:space="preserve">Notifications</w:t>
      </w:r>
    </w:p>
    <w:p>
      <w:pPr>
        <w:pStyle w:val="Compact"/>
        <w:numPr>
          <w:ilvl w:val="0"/>
          <w:numId w:val="1003"/>
        </w:numPr>
      </w:pPr>
      <w:r>
        <w:t xml:space="preserve">Command Palette</w:t>
      </w:r>
    </w:p>
    <w:p>
      <w:pPr>
        <w:pStyle w:val="Compact"/>
        <w:numPr>
          <w:ilvl w:val="0"/>
          <w:numId w:val="1003"/>
        </w:numPr>
      </w:pPr>
      <w:r>
        <w:t xml:space="preserve">Trading Journal</w:t>
      </w:r>
    </w:p>
    <w:p>
      <w:pPr>
        <w:pStyle w:val="Compact"/>
        <w:numPr>
          <w:ilvl w:val="0"/>
          <w:numId w:val="1003"/>
        </w:numPr>
      </w:pPr>
      <w:r>
        <w:t xml:space="preserve">Reporting and Analytics</w:t>
      </w:r>
    </w:p>
    <w:p>
      <w:pPr>
        <w:pStyle w:val="FirstParagraph"/>
      </w:pPr>
      <w:r>
        <w:t xml:space="preserve">Capabilities are introduced incrementally according to the Product Roadmap.</w:t>
      </w:r>
    </w:p>
    <w:p>
      <w:r>
        <w:pict>
          <v:rect style="width:0;height:1.5pt" o:hralign="center" o:hrstd="t" o:hr="t"/>
        </w:pict>
      </w:r>
    </w:p>
    <w:bookmarkEnd w:id="13"/>
    <w:bookmarkStart w:id="14" w:name="primary-target-users"/>
    <w:p>
      <w:pPr>
        <w:pStyle w:val="Heading1"/>
      </w:pPr>
      <w:r>
        <w:t xml:space="preserve">Primary Target Users</w:t>
      </w:r>
    </w:p>
    <w:p>
      <w:pPr>
        <w:pStyle w:val="FirstParagraph"/>
      </w:pPr>
      <w:r>
        <w:t xml:space="preserve">The initial product is designed primarily for:</w:t>
      </w:r>
    </w:p>
    <w:p>
      <w:pPr>
        <w:pStyle w:val="Compact"/>
        <w:numPr>
          <w:ilvl w:val="0"/>
          <w:numId w:val="1004"/>
        </w:numPr>
      </w:pPr>
      <w:r>
        <w:t xml:space="preserve">active private traders</w:t>
      </w:r>
    </w:p>
    <w:p>
      <w:pPr>
        <w:pStyle w:val="Compact"/>
        <w:numPr>
          <w:ilvl w:val="0"/>
          <w:numId w:val="1004"/>
        </w:numPr>
      </w:pPr>
      <w:r>
        <w:t xml:space="preserve">professional discretionary traders</w:t>
      </w:r>
    </w:p>
    <w:p>
      <w:pPr>
        <w:pStyle w:val="Compact"/>
        <w:numPr>
          <w:ilvl w:val="0"/>
          <w:numId w:val="1004"/>
        </w:numPr>
      </w:pPr>
      <w:r>
        <w:t xml:space="preserve">systematic traders using manual or semi-automated workflows</w:t>
      </w:r>
    </w:p>
    <w:p>
      <w:pPr>
        <w:pStyle w:val="FirstParagraph"/>
      </w:pPr>
      <w:r>
        <w:t xml:space="preserve">Secondary users include:</w:t>
      </w:r>
    </w:p>
    <w:p>
      <w:pPr>
        <w:pStyle w:val="Compact"/>
        <w:numPr>
          <w:ilvl w:val="0"/>
          <w:numId w:val="1005"/>
        </w:numPr>
      </w:pPr>
      <w:r>
        <w:t xml:space="preserve">quantitative traders</w:t>
      </w:r>
    </w:p>
    <w:p>
      <w:pPr>
        <w:pStyle w:val="Compact"/>
        <w:numPr>
          <w:ilvl w:val="0"/>
          <w:numId w:val="1005"/>
        </w:numPr>
      </w:pPr>
      <w:r>
        <w:t xml:space="preserve">developers extending platform capabilities</w:t>
      </w:r>
    </w:p>
    <w:p>
      <w:pPr>
        <w:pStyle w:val="FirstParagraph"/>
      </w:pPr>
      <w:r>
        <w:t xml:space="preserve">AI-assisted workflows are future product capabilities and are not a primary user group.</w:t>
      </w:r>
    </w:p>
    <w:p>
      <w:r>
        <w:pict>
          <v:rect style="width:0;height:1.5pt" o:hralign="center" o:hrstd="t" o:hr="t"/>
        </w:pict>
      </w:r>
    </w:p>
    <w:bookmarkEnd w:id="14"/>
    <w:bookmarkStart w:id="15" w:name="product-goals"/>
    <w:p>
      <w:pPr>
        <w:pStyle w:val="Heading1"/>
      </w:pPr>
      <w:r>
        <w:t xml:space="preserve">Product Goals</w:t>
      </w:r>
    </w:p>
    <w:p>
      <w:pPr>
        <w:pStyle w:val="FirstParagraph"/>
      </w:pPr>
      <w:r>
        <w:t xml:space="preserve">The primary product goals are:</w:t>
      </w:r>
    </w:p>
    <w:p>
      <w:pPr>
        <w:pStyle w:val="Compact"/>
        <w:numPr>
          <w:ilvl w:val="0"/>
          <w:numId w:val="1006"/>
        </w:numPr>
      </w:pPr>
      <w:r>
        <w:t xml:space="preserve">reduce unnecessary tool switching</w:t>
      </w:r>
    </w:p>
    <w:p>
      <w:pPr>
        <w:pStyle w:val="Compact"/>
        <w:numPr>
          <w:ilvl w:val="0"/>
          <w:numId w:val="1006"/>
        </w:numPr>
      </w:pPr>
      <w:r>
        <w:t xml:space="preserve">provide one coherent trading workspace</w:t>
      </w:r>
    </w:p>
    <w:p>
      <w:pPr>
        <w:pStyle w:val="Compact"/>
        <w:numPr>
          <w:ilvl w:val="0"/>
          <w:numId w:val="1006"/>
        </w:numPr>
      </w:pPr>
      <w:r>
        <w:t xml:space="preserve">preserve user context across widgets</w:t>
      </w:r>
    </w:p>
    <w:p>
      <w:pPr>
        <w:pStyle w:val="Compact"/>
        <w:numPr>
          <w:ilvl w:val="0"/>
          <w:numId w:val="1006"/>
        </w:numPr>
      </w:pPr>
      <w:r>
        <w:t xml:space="preserve">integrate core trading workflows</w:t>
      </w:r>
    </w:p>
    <w:p>
      <w:pPr>
        <w:pStyle w:val="Compact"/>
        <w:numPr>
          <w:ilvl w:val="0"/>
          <w:numId w:val="1006"/>
        </w:numPr>
      </w:pPr>
      <w:r>
        <w:t xml:space="preserve">provide transparent portfolio and risk context</w:t>
      </w:r>
    </w:p>
    <w:p>
      <w:pPr>
        <w:pStyle w:val="Compact"/>
        <w:numPr>
          <w:ilvl w:val="0"/>
          <w:numId w:val="1006"/>
        </w:numPr>
      </w:pPr>
      <w:r>
        <w:t xml:space="preserve">provide clear operational feedback</w:t>
      </w:r>
    </w:p>
    <w:p>
      <w:pPr>
        <w:pStyle w:val="Compact"/>
        <w:numPr>
          <w:ilvl w:val="0"/>
          <w:numId w:val="1006"/>
        </w:numPr>
      </w:pPr>
      <w:r>
        <w:t xml:space="preserve">support configurable and persistent workspaces</w:t>
      </w:r>
    </w:p>
    <w:p>
      <w:pPr>
        <w:pStyle w:val="Compact"/>
        <w:numPr>
          <w:ilvl w:val="0"/>
          <w:numId w:val="1006"/>
        </w:numPr>
      </w:pPr>
      <w:r>
        <w:t xml:space="preserve">provide deterministic application behaviour</w:t>
      </w:r>
    </w:p>
    <w:p>
      <w:pPr>
        <w:pStyle w:val="Compact"/>
        <w:numPr>
          <w:ilvl w:val="0"/>
          <w:numId w:val="1006"/>
        </w:numPr>
      </w:pPr>
      <w:r>
        <w:t xml:space="preserve">deliver a professional desktop user experience</w:t>
      </w:r>
    </w:p>
    <w:p>
      <w:r>
        <w:pict>
          <v:rect style="width:0;height:1.5pt" o:hralign="center" o:hrstd="t" o:hr="t"/>
        </w:pict>
      </w:r>
    </w:p>
    <w:bookmarkEnd w:id="15"/>
    <w:bookmarkStart w:id="16" w:name="engineering-goals"/>
    <w:p>
      <w:pPr>
        <w:pStyle w:val="Heading1"/>
      </w:pPr>
      <w:r>
        <w:t xml:space="preserve">Engineering Goals</w:t>
      </w:r>
    </w:p>
    <w:p>
      <w:pPr>
        <w:pStyle w:val="FirstParagraph"/>
      </w:pPr>
      <w:r>
        <w:t xml:space="preserve">The primary engineering goals are:</w:t>
      </w:r>
    </w:p>
    <w:p>
      <w:pPr>
        <w:pStyle w:val="Compact"/>
        <w:numPr>
          <w:ilvl w:val="0"/>
          <w:numId w:val="1007"/>
        </w:numPr>
      </w:pPr>
      <w:r>
        <w:t xml:space="preserve">maintainable architecture</w:t>
      </w:r>
    </w:p>
    <w:p>
      <w:pPr>
        <w:pStyle w:val="Compact"/>
        <w:numPr>
          <w:ilvl w:val="0"/>
          <w:numId w:val="1007"/>
        </w:numPr>
      </w:pPr>
      <w:r>
        <w:t xml:space="preserve">deterministic behaviour</w:t>
      </w:r>
    </w:p>
    <w:p>
      <w:pPr>
        <w:pStyle w:val="Compact"/>
        <w:numPr>
          <w:ilvl w:val="0"/>
          <w:numId w:val="1007"/>
        </w:numPr>
      </w:pPr>
      <w:r>
        <w:t xml:space="preserve">strong domain boundaries</w:t>
      </w:r>
    </w:p>
    <w:p>
      <w:pPr>
        <w:pStyle w:val="Compact"/>
        <w:numPr>
          <w:ilvl w:val="0"/>
          <w:numId w:val="1007"/>
        </w:numPr>
      </w:pPr>
      <w:r>
        <w:t xml:space="preserve">explicit dependencies</w:t>
      </w:r>
    </w:p>
    <w:p>
      <w:pPr>
        <w:pStyle w:val="Compact"/>
        <w:numPr>
          <w:ilvl w:val="0"/>
          <w:numId w:val="1007"/>
        </w:numPr>
      </w:pPr>
      <w:r>
        <w:t xml:space="preserve">reliable runtime lifecycle</w:t>
      </w:r>
    </w:p>
    <w:p>
      <w:pPr>
        <w:pStyle w:val="Compact"/>
        <w:numPr>
          <w:ilvl w:val="0"/>
          <w:numId w:val="1007"/>
        </w:numPr>
      </w:pPr>
      <w:r>
        <w:t xml:space="preserve">comprehensive observability</w:t>
      </w:r>
    </w:p>
    <w:p>
      <w:pPr>
        <w:pStyle w:val="Compact"/>
        <w:numPr>
          <w:ilvl w:val="0"/>
          <w:numId w:val="1007"/>
        </w:numPr>
      </w:pPr>
      <w:r>
        <w:t xml:space="preserve">automated quality assurance</w:t>
      </w:r>
    </w:p>
    <w:p>
      <w:pPr>
        <w:pStyle w:val="Compact"/>
        <w:numPr>
          <w:ilvl w:val="0"/>
          <w:numId w:val="1007"/>
        </w:numPr>
      </w:pPr>
      <w:r>
        <w:t xml:space="preserve">reproducible documentation</w:t>
      </w:r>
    </w:p>
    <w:p>
      <w:pPr>
        <w:pStyle w:val="Compact"/>
        <w:numPr>
          <w:ilvl w:val="0"/>
          <w:numId w:val="1007"/>
        </w:numPr>
      </w:pPr>
      <w:r>
        <w:t xml:space="preserve">controlled technical debt</w:t>
      </w:r>
    </w:p>
    <w:p>
      <w:pPr>
        <w:pStyle w:val="FirstParagraph"/>
      </w:pPr>
      <w:r>
        <w:t xml:space="preserve">Engineering capabilities shall support product development rather than evolve independently without a defined product requirement.</w:t>
      </w:r>
    </w:p>
    <w:p>
      <w:r>
        <w:pict>
          <v:rect style="width:0;height:1.5pt" o:hralign="center" o:hrstd="t" o:hr="t"/>
        </w:pict>
      </w:r>
    </w:p>
    <w:bookmarkEnd w:id="16"/>
    <w:bookmarkStart w:id="17" w:name="architecture-principles"/>
    <w:p>
      <w:pPr>
        <w:pStyle w:val="Heading1"/>
      </w:pPr>
      <w:r>
        <w:t xml:space="preserve">Architecture Principles</w:t>
      </w:r>
    </w:p>
    <w:p>
      <w:pPr>
        <w:pStyle w:val="FirstParagraph"/>
      </w:pPr>
      <w:r>
        <w:t xml:space="preserve">Trading Platform Pro follows:</w:t>
      </w:r>
    </w:p>
    <w:p>
      <w:pPr>
        <w:pStyle w:val="Compact"/>
        <w:numPr>
          <w:ilvl w:val="0"/>
          <w:numId w:val="1008"/>
        </w:numPr>
      </w:pPr>
      <w:r>
        <w:t xml:space="preserve">Clean Architecture</w:t>
      </w:r>
    </w:p>
    <w:p>
      <w:pPr>
        <w:pStyle w:val="Compact"/>
        <w:numPr>
          <w:ilvl w:val="0"/>
          <w:numId w:val="1008"/>
        </w:numPr>
      </w:pPr>
      <w:r>
        <w:t xml:space="preserve">Domain-Driven Design</w:t>
      </w:r>
    </w:p>
    <w:p>
      <w:pPr>
        <w:pStyle w:val="Compact"/>
        <w:numPr>
          <w:ilvl w:val="0"/>
          <w:numId w:val="1008"/>
        </w:numPr>
      </w:pPr>
      <w:r>
        <w:t xml:space="preserve">Event-Driven Architecture</w:t>
      </w:r>
    </w:p>
    <w:p>
      <w:pPr>
        <w:pStyle w:val="Compact"/>
        <w:numPr>
          <w:ilvl w:val="0"/>
          <w:numId w:val="1008"/>
        </w:numPr>
      </w:pPr>
      <w:r>
        <w:t xml:space="preserve">Modular Design</w:t>
      </w:r>
    </w:p>
    <w:p>
      <w:pPr>
        <w:pStyle w:val="Compact"/>
        <w:numPr>
          <w:ilvl w:val="0"/>
          <w:numId w:val="1008"/>
        </w:numPr>
      </w:pPr>
      <w:r>
        <w:t xml:space="preserve">SOLID Principles</w:t>
      </w:r>
    </w:p>
    <w:p>
      <w:pPr>
        <w:pStyle w:val="Compact"/>
        <w:numPr>
          <w:ilvl w:val="0"/>
          <w:numId w:val="1008"/>
        </w:numPr>
      </w:pPr>
      <w:r>
        <w:t xml:space="preserve">Dependency Injection</w:t>
      </w:r>
    </w:p>
    <w:p>
      <w:pPr>
        <w:pStyle w:val="Compact"/>
        <w:numPr>
          <w:ilvl w:val="0"/>
          <w:numId w:val="1008"/>
        </w:numPr>
      </w:pPr>
      <w:r>
        <w:t xml:space="preserve">Explicit Dependencies</w:t>
      </w:r>
    </w:p>
    <w:p>
      <w:pPr>
        <w:pStyle w:val="Compact"/>
        <w:numPr>
          <w:ilvl w:val="0"/>
          <w:numId w:val="1008"/>
        </w:numPr>
      </w:pPr>
      <w:r>
        <w:t xml:space="preserve">Testability</w:t>
      </w:r>
    </w:p>
    <w:p>
      <w:pPr>
        <w:pStyle w:val="Compact"/>
        <w:numPr>
          <w:ilvl w:val="0"/>
          <w:numId w:val="1008"/>
        </w:numPr>
      </w:pPr>
      <w:r>
        <w:t xml:space="preserve">Security by Design</w:t>
      </w:r>
    </w:p>
    <w:p>
      <w:pPr>
        <w:pStyle w:val="FirstParagraph"/>
      </w:pPr>
      <w:r>
        <w:t xml:space="preserve">Architecture shall support incremental vertical product slices.</w:t>
      </w:r>
    </w:p>
    <w:p>
      <w:pPr>
        <w:pStyle w:val="BodyText"/>
      </w:pPr>
      <w:r>
        <w:t xml:space="preserve">Platform services shall be introduced when required by concrete product workflows.</w:t>
      </w:r>
    </w:p>
    <w:p>
      <w:r>
        <w:pict>
          <v:rect style="width:0;height:1.5pt" o:hralign="center" o:hrstd="t" o:hr="t"/>
        </w:pict>
      </w:r>
    </w:p>
    <w:bookmarkEnd w:id="17"/>
    <w:bookmarkStart w:id="18" w:name="application-structure"/>
    <w:p>
      <w:pPr>
        <w:pStyle w:val="Heading1"/>
      </w:pPr>
      <w:r>
        <w:t xml:space="preserve">Application Structure</w:t>
      </w:r>
    </w:p>
    <w:p>
      <w:pPr>
        <w:pStyle w:val="FirstParagraph"/>
      </w:pPr>
      <w:r>
        <w:t xml:space="preserve">The project consists of:</w:t>
      </w:r>
    </w:p>
    <w:p>
      <w:pPr>
        <w:pStyle w:val="Compact"/>
        <w:numPr>
          <w:ilvl w:val="0"/>
          <w:numId w:val="1009"/>
        </w:numPr>
      </w:pPr>
      <w:r>
        <w:t xml:space="preserve">Trading Cockpit</w:t>
      </w:r>
    </w:p>
    <w:p>
      <w:pPr>
        <w:pStyle w:val="Compact"/>
        <w:numPr>
          <w:ilvl w:val="0"/>
          <w:numId w:val="1009"/>
        </w:numPr>
      </w:pPr>
      <w:r>
        <w:t xml:space="preserve">Domain capabilities</w:t>
      </w:r>
    </w:p>
    <w:p>
      <w:pPr>
        <w:pStyle w:val="Compact"/>
        <w:numPr>
          <w:ilvl w:val="0"/>
          <w:numId w:val="1009"/>
        </w:numPr>
      </w:pPr>
      <w:r>
        <w:t xml:space="preserve">Application services</w:t>
      </w:r>
    </w:p>
    <w:p>
      <w:pPr>
        <w:pStyle w:val="Compact"/>
        <w:numPr>
          <w:ilvl w:val="0"/>
          <w:numId w:val="1009"/>
        </w:numPr>
      </w:pPr>
      <w:r>
        <w:t xml:space="preserve">Shared platform services</w:t>
      </w:r>
    </w:p>
    <w:p>
      <w:pPr>
        <w:pStyle w:val="Compact"/>
        <w:numPr>
          <w:ilvl w:val="0"/>
          <w:numId w:val="1009"/>
        </w:numPr>
      </w:pPr>
      <w:r>
        <w:t xml:space="preserve">Infrastructure adapters</w:t>
      </w:r>
    </w:p>
    <w:p>
      <w:pPr>
        <w:pStyle w:val="Compact"/>
        <w:numPr>
          <w:ilvl w:val="0"/>
          <w:numId w:val="1009"/>
        </w:numPr>
      </w:pPr>
      <w:r>
        <w:t xml:space="preserve">External integrations</w:t>
      </w:r>
    </w:p>
    <w:p>
      <w:pPr>
        <w:pStyle w:val="FirstParagraph"/>
      </w:pPr>
      <w:r>
        <w:t xml:space="preserve">The Trading Cockpit is the primary application.</w:t>
      </w:r>
    </w:p>
    <w:p>
      <w:pPr>
        <w:pStyle w:val="BodyText"/>
      </w:pPr>
      <w:r>
        <w:t xml:space="preserve">Shared platform services provide reusable technical capabilities where justified by multiple product workflows.</w:t>
      </w:r>
    </w:p>
    <w:p>
      <w:pPr>
        <w:pStyle w:val="BodyText"/>
      </w:pPr>
      <w:r>
        <w:t xml:space="preserve">Future applications may reuse established platform capabilities.</w:t>
      </w:r>
    </w:p>
    <w:p>
      <w:r>
        <w:pict>
          <v:rect style="width:0;height:1.5pt" o:hralign="center" o:hrstd="t" o:hr="t"/>
        </w:pict>
      </w:r>
    </w:p>
    <w:bookmarkEnd w:id="18"/>
    <w:bookmarkStart w:id="19" w:name="product-development-strategy"/>
    <w:p>
      <w:pPr>
        <w:pStyle w:val="Heading1"/>
      </w:pPr>
      <w:r>
        <w:t xml:space="preserve">Product Development Strategy</w:t>
      </w:r>
    </w:p>
    <w:p>
      <w:pPr>
        <w:pStyle w:val="FirstParagraph"/>
      </w:pPr>
      <w:r>
        <w:t xml:space="preserve">Development follows vertical product slices.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Market Data → Watchlist → Instrument Selection → Chart Context</w:t>
      </w:r>
    </w:p>
    <w:p>
      <w:pPr>
        <w:pStyle w:val="BodyText"/>
      </w:pPr>
      <w:r>
        <w:t xml:space="preserve">is preferred over completing every possible Market Data infrastructure capability before exposing product functionality.</w:t>
      </w:r>
    </w:p>
    <w:p>
      <w:pPr>
        <w:pStyle w:val="BodyText"/>
      </w:pPr>
      <w:r>
        <w:t xml:space="preserve">Each product phase should deliver a usable and testable increment.</w:t>
      </w:r>
    </w:p>
    <w:p>
      <w:pPr>
        <w:pStyle w:val="BodyText"/>
      </w:pPr>
      <w:r>
        <w:t xml:space="preserve">The Product Roadmap defines the sequence of product workflows.</w:t>
      </w:r>
    </w:p>
    <w:p>
      <w:r>
        <w:pict>
          <v:rect style="width:0;height:1.5pt" o:hralign="center" o:hrstd="t" o:hr="t"/>
        </w:pict>
      </w:r>
    </w:p>
    <w:bookmarkEnd w:id="19"/>
    <w:bookmarkStart w:id="20" w:name="out-of-scope"/>
    <w:p>
      <w:pPr>
        <w:pStyle w:val="Heading1"/>
      </w:pPr>
      <w:r>
        <w:t xml:space="preserve">Out of Scope</w:t>
      </w:r>
    </w:p>
    <w:p>
      <w:pPr>
        <w:pStyle w:val="FirstParagraph"/>
      </w:pPr>
      <w:r>
        <w:t xml:space="preserve">The initial Trading Cockpit does not aim to provide:</w:t>
      </w:r>
    </w:p>
    <w:p>
      <w:pPr>
        <w:pStyle w:val="Compact"/>
        <w:numPr>
          <w:ilvl w:val="0"/>
          <w:numId w:val="1010"/>
        </w:numPr>
      </w:pPr>
      <w:r>
        <w:t xml:space="preserve">autonomous AI trading</w:t>
      </w:r>
    </w:p>
    <w:p>
      <w:pPr>
        <w:pStyle w:val="Compact"/>
        <w:numPr>
          <w:ilvl w:val="0"/>
          <w:numId w:val="1010"/>
        </w:numPr>
      </w:pPr>
      <w:r>
        <w:t xml:space="preserve">high-frequency trading infrastructure</w:t>
      </w:r>
    </w:p>
    <w:p>
      <w:pPr>
        <w:pStyle w:val="Compact"/>
        <w:numPr>
          <w:ilvl w:val="0"/>
          <w:numId w:val="1010"/>
        </w:numPr>
      </w:pPr>
      <w:r>
        <w:t xml:space="preserve">social trading</w:t>
      </w:r>
    </w:p>
    <w:p>
      <w:pPr>
        <w:pStyle w:val="Compact"/>
        <w:numPr>
          <w:ilvl w:val="0"/>
          <w:numId w:val="1010"/>
        </w:numPr>
      </w:pPr>
      <w:r>
        <w:t xml:space="preserve">a broker replacement</w:t>
      </w:r>
    </w:p>
    <w:p>
      <w:pPr>
        <w:pStyle w:val="Compact"/>
        <w:numPr>
          <w:ilvl w:val="0"/>
          <w:numId w:val="1010"/>
        </w:numPr>
      </w:pPr>
      <w:r>
        <w:t xml:space="preserve">cloud-first multi-user operation</w:t>
      </w:r>
    </w:p>
    <w:p>
      <w:pPr>
        <w:pStyle w:val="Compact"/>
        <w:numPr>
          <w:ilvl w:val="0"/>
          <w:numId w:val="1010"/>
        </w:numPr>
      </w:pPr>
      <w:r>
        <w:t xml:space="preserve">a general-purpose financial terminal</w:t>
      </w:r>
    </w:p>
    <w:p>
      <w:pPr>
        <w:pStyle w:val="Compact"/>
        <w:numPr>
          <w:ilvl w:val="0"/>
          <w:numId w:val="1010"/>
        </w:numPr>
      </w:pPr>
      <w:r>
        <w:t xml:space="preserve">a public trading marketplace</w:t>
      </w:r>
    </w:p>
    <w:p>
      <w:pPr>
        <w:pStyle w:val="FirstParagraph"/>
      </w:pPr>
      <w:r>
        <w:t xml:space="preserve">These capabilities may only be reconsidered through explicit product and architectural decisions.</w:t>
      </w:r>
    </w:p>
    <w:p>
      <w:r>
        <w:pict>
          <v:rect style="width:0;height:1.5pt" o:hralign="center" o:hrstd="t" o:hr="t"/>
        </w:pict>
      </w:r>
    </w:p>
    <w:bookmarkEnd w:id="20"/>
    <w:bookmarkStart w:id="21" w:name="documentation-strategy"/>
    <w:p>
      <w:pPr>
        <w:pStyle w:val="Heading1"/>
      </w:pPr>
      <w:r>
        <w:t xml:space="preserve">Documentation Strategy</w:t>
      </w:r>
    </w:p>
    <w:p>
      <w:pPr>
        <w:pStyle w:val="FirstParagraph"/>
      </w:pPr>
      <w:r>
        <w:t xml:space="preserve">Markdown documents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are the single source of truth.</w:t>
      </w:r>
    </w:p>
    <w:p>
      <w:pPr>
        <w:pStyle w:val="BodyText"/>
      </w:pPr>
      <w:r>
        <w:t xml:space="preserve">Generated documentation artifacts include:</w:t>
      </w:r>
    </w:p>
    <w:p>
      <w:pPr>
        <w:pStyle w:val="Compact"/>
        <w:numPr>
          <w:ilvl w:val="0"/>
          <w:numId w:val="1011"/>
        </w:numPr>
      </w:pPr>
      <w:r>
        <w:t xml:space="preserve">DOCX</w:t>
      </w:r>
    </w:p>
    <w:p>
      <w:pPr>
        <w:pStyle w:val="Compact"/>
        <w:numPr>
          <w:ilvl w:val="0"/>
          <w:numId w:val="1011"/>
        </w:numPr>
      </w:pPr>
      <w:r>
        <w:t xml:space="preserve">PDF</w:t>
      </w:r>
    </w:p>
    <w:p>
      <w:pPr>
        <w:pStyle w:val="FirstParagraph"/>
      </w:pPr>
      <w:r>
        <w:t xml:space="preserve">Generated documents shall not be edited manually.</w:t>
      </w:r>
    </w:p>
    <w:p>
      <w:pPr>
        <w:pStyle w:val="BodyText"/>
      </w:pPr>
      <w:r>
        <w:t xml:space="preserve">Documentation is organized by responsibility:</w:t>
      </w:r>
    </w:p>
    <w:p>
      <w:pPr>
        <w:pStyle w:val="Compact"/>
        <w:numPr>
          <w:ilvl w:val="0"/>
          <w:numId w:val="1012"/>
        </w:numPr>
      </w:pPr>
      <w:r>
        <w:t xml:space="preserve">product</w:t>
      </w:r>
    </w:p>
    <w:p>
      <w:pPr>
        <w:pStyle w:val="Compact"/>
        <w:numPr>
          <w:ilvl w:val="0"/>
          <w:numId w:val="1012"/>
        </w:numPr>
      </w:pPr>
      <w:r>
        <w:t xml:space="preserve">architecture</w:t>
      </w:r>
    </w:p>
    <w:p>
      <w:pPr>
        <w:pStyle w:val="Compact"/>
        <w:numPr>
          <w:ilvl w:val="0"/>
          <w:numId w:val="1012"/>
        </w:numPr>
      </w:pPr>
      <w:r>
        <w:t xml:space="preserve">specifications</w:t>
      </w:r>
    </w:p>
    <w:p>
      <w:pPr>
        <w:pStyle w:val="Compact"/>
        <w:numPr>
          <w:ilvl w:val="0"/>
          <w:numId w:val="1012"/>
        </w:numPr>
      </w:pPr>
      <w:r>
        <w:t xml:space="preserve">API</w:t>
      </w:r>
    </w:p>
    <w:p>
      <w:pPr>
        <w:pStyle w:val="Compact"/>
        <w:numPr>
          <w:ilvl w:val="0"/>
          <w:numId w:val="1012"/>
        </w:numPr>
      </w:pPr>
      <w:r>
        <w:t xml:space="preserve">UI</w:t>
      </w:r>
    </w:p>
    <w:p>
      <w:pPr>
        <w:pStyle w:val="Compact"/>
        <w:numPr>
          <w:ilvl w:val="0"/>
          <w:numId w:val="1012"/>
        </w:numPr>
      </w:pPr>
      <w:r>
        <w:t xml:space="preserve">operations</w:t>
      </w:r>
    </w:p>
    <w:p>
      <w:pPr>
        <w:pStyle w:val="Compact"/>
        <w:numPr>
          <w:ilvl w:val="0"/>
          <w:numId w:val="1012"/>
        </w:numPr>
      </w:pPr>
      <w:r>
        <w:t xml:space="preserve">developer</w:t>
      </w:r>
    </w:p>
    <w:p>
      <w:pPr>
        <w:pStyle w:val="Compact"/>
        <w:numPr>
          <w:ilvl w:val="0"/>
          <w:numId w:val="1012"/>
        </w:numPr>
      </w:pPr>
      <w:r>
        <w:t xml:space="preserve">user</w:t>
      </w:r>
    </w:p>
    <w:p>
      <w:pPr>
        <w:pStyle w:val="Compact"/>
        <w:numPr>
          <w:ilvl w:val="0"/>
          <w:numId w:val="1012"/>
        </w:numPr>
      </w:pPr>
      <w:r>
        <w:t xml:space="preserve">decisions</w:t>
      </w:r>
    </w:p>
    <w:p>
      <w:pPr>
        <w:pStyle w:val="FirstParagraph"/>
      </w:pPr>
      <w:r>
        <w:t xml:space="preserve">Product, architecture and implementation documentation shall remain synchronized.</w:t>
      </w:r>
    </w:p>
    <w:p>
      <w:r>
        <w:pict>
          <v:rect style="width:0;height:1.5pt" o:hralign="center" o:hrstd="t" o:hr="t"/>
        </w:pict>
      </w:r>
    </w:p>
    <w:bookmarkEnd w:id="21"/>
    <w:bookmarkStart w:id="22" w:name="key-documents"/>
    <w:p>
      <w:pPr>
        <w:pStyle w:val="Heading1"/>
      </w:pPr>
      <w:r>
        <w:t xml:space="preserve">Key Documents</w:t>
      </w:r>
    </w:p>
    <w:p>
      <w:pPr>
        <w:pStyle w:val="FirstParagraph"/>
      </w:pPr>
      <w:r>
        <w:t xml:space="preserve">The primary project documents include:</w:t>
      </w:r>
    </w:p>
    <w:p>
      <w:pPr>
        <w:pStyle w:val="Compact"/>
        <w:numPr>
          <w:ilvl w:val="0"/>
          <w:numId w:val="1013"/>
        </w:numPr>
      </w:pPr>
      <w:r>
        <w:t xml:space="preserve">Product_Vision.md</w:t>
      </w:r>
    </w:p>
    <w:p>
      <w:pPr>
        <w:pStyle w:val="Compact"/>
        <w:numPr>
          <w:ilvl w:val="0"/>
          <w:numId w:val="1013"/>
        </w:numPr>
      </w:pPr>
      <w:r>
        <w:t xml:space="preserve">Product_Roadmap.md</w:t>
      </w:r>
    </w:p>
    <w:p>
      <w:pPr>
        <w:pStyle w:val="Compact"/>
        <w:numPr>
          <w:ilvl w:val="0"/>
          <w:numId w:val="1013"/>
        </w:numPr>
      </w:pPr>
      <w:r>
        <w:t xml:space="preserve">Project_Overview.md</w:t>
      </w:r>
    </w:p>
    <w:p>
      <w:pPr>
        <w:pStyle w:val="Compact"/>
        <w:numPr>
          <w:ilvl w:val="0"/>
          <w:numId w:val="1013"/>
        </w:numPr>
      </w:pPr>
      <w:r>
        <w:t xml:space="preserve">Architecture.md</w:t>
      </w:r>
    </w:p>
    <w:p>
      <w:pPr>
        <w:pStyle w:val="Compact"/>
        <w:numPr>
          <w:ilvl w:val="0"/>
          <w:numId w:val="1013"/>
        </w:numPr>
      </w:pPr>
      <w:r>
        <w:t xml:space="preserve">Domain_Model.md</w:t>
      </w:r>
    </w:p>
    <w:p>
      <w:pPr>
        <w:pStyle w:val="Compact"/>
        <w:numPr>
          <w:ilvl w:val="0"/>
          <w:numId w:val="1013"/>
        </w:numPr>
      </w:pPr>
      <w:r>
        <w:t xml:space="preserve">Infrastructure.md</w:t>
      </w:r>
    </w:p>
    <w:p>
      <w:pPr>
        <w:pStyle w:val="Compact"/>
        <w:numPr>
          <w:ilvl w:val="0"/>
          <w:numId w:val="1013"/>
        </w:numPr>
      </w:pPr>
      <w:r>
        <w:t xml:space="preserve">Project_Structure.md</w:t>
      </w:r>
    </w:p>
    <w:p>
      <w:pPr>
        <w:pStyle w:val="Compact"/>
        <w:numPr>
          <w:ilvl w:val="0"/>
          <w:numId w:val="1013"/>
        </w:numPr>
      </w:pPr>
      <w:r>
        <w:t xml:space="preserve">Technical_Specifications.md</w:t>
      </w:r>
    </w:p>
    <w:p>
      <w:pPr>
        <w:pStyle w:val="Compact"/>
        <w:numPr>
          <w:ilvl w:val="0"/>
          <w:numId w:val="1013"/>
        </w:numPr>
      </w:pPr>
      <w:r>
        <w:t xml:space="preserve">Widget_Catalog.md</w:t>
      </w:r>
    </w:p>
    <w:p>
      <w:pPr>
        <w:pStyle w:val="Compact"/>
        <w:numPr>
          <w:ilvl w:val="0"/>
          <w:numId w:val="1013"/>
        </w:numPr>
      </w:pPr>
      <w:r>
        <w:t xml:space="preserve">UI_Guidelines.md</w:t>
      </w:r>
    </w:p>
    <w:p>
      <w:pPr>
        <w:pStyle w:val="Compact"/>
        <w:numPr>
          <w:ilvl w:val="0"/>
          <w:numId w:val="1013"/>
        </w:numPr>
      </w:pPr>
      <w:r>
        <w:t xml:space="preserve">API_Guidelines.md</w:t>
      </w:r>
    </w:p>
    <w:p>
      <w:pPr>
        <w:pStyle w:val="Compact"/>
        <w:numPr>
          <w:ilvl w:val="0"/>
          <w:numId w:val="1013"/>
        </w:numPr>
      </w:pPr>
      <w:r>
        <w:t xml:space="preserve">Decision_Log.md</w:t>
      </w:r>
    </w:p>
    <w:p>
      <w:pPr>
        <w:pStyle w:val="Compact"/>
        <w:numPr>
          <w:ilvl w:val="0"/>
          <w:numId w:val="1013"/>
        </w:numPr>
      </w:pPr>
      <w:r>
        <w:t xml:space="preserve">Roadmap.md</w:t>
      </w:r>
    </w:p>
    <w:p>
      <w:pPr>
        <w:pStyle w:val="Compact"/>
        <w:numPr>
          <w:ilvl w:val="0"/>
          <w:numId w:val="1013"/>
        </w:numPr>
      </w:pPr>
      <w:r>
        <w:t xml:space="preserve">AGENTS.md</w:t>
      </w:r>
    </w:p>
    <w:p>
      <w:r>
        <w:pict>
          <v:rect style="width:0;height:1.5pt" o:hralign="center" o:hrstd="t" o:hr="t"/>
        </w:pict>
      </w:r>
    </w:p>
    <w:bookmarkEnd w:id="22"/>
    <w:bookmarkStart w:id="23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The repository follows a domain-oriented documentation and source structure.</w:t>
      </w:r>
    </w:p>
    <w:p>
      <w:pPr>
        <w:pStyle w:val="BodyText"/>
      </w:pPr>
      <w:r>
        <w:t xml:space="preserve">Source code, documentation, configuration, tests and generated artifacts have explicit responsibilities.</w:t>
      </w:r>
    </w:p>
    <w:p>
      <w:pPr>
        <w:pStyle w:val="BodyText"/>
      </w:pPr>
      <w:r>
        <w:t xml:space="preserve">Generated documentation is derived from Markdown sources through the documentation generation pipeline.</w:t>
      </w:r>
    </w:p>
    <w:p>
      <w:r>
        <w:pict>
          <v:rect style="width:0;height:1.5pt" o:hralign="center" o:hrstd="t" o:hr="t"/>
        </w:pict>
      </w:r>
    </w:p>
    <w:bookmarkEnd w:id="23"/>
    <w:bookmarkStart w:id="24" w:name="future-platform-evolution"/>
    <w:p>
      <w:pPr>
        <w:pStyle w:val="Heading1"/>
      </w:pPr>
      <w:r>
        <w:t xml:space="preserve">Future Platform Evolution</w:t>
      </w:r>
    </w:p>
    <w:p>
      <w:pPr>
        <w:pStyle w:val="FirstParagraph"/>
      </w:pPr>
      <w:r>
        <w:t xml:space="preserve">After the Trading Cockpit is established, the project may evolve with:</w:t>
      </w:r>
    </w:p>
    <w:p>
      <w:pPr>
        <w:pStyle w:val="Compact"/>
        <w:numPr>
          <w:ilvl w:val="0"/>
          <w:numId w:val="1014"/>
        </w:numPr>
      </w:pPr>
      <w:r>
        <w:t xml:space="preserve">Portfolio Manager</w:t>
      </w:r>
    </w:p>
    <w:p>
      <w:pPr>
        <w:pStyle w:val="Compact"/>
        <w:numPr>
          <w:ilvl w:val="0"/>
          <w:numId w:val="1014"/>
        </w:numPr>
      </w:pPr>
      <w:r>
        <w:t xml:space="preserve">Strategy Lab</w:t>
      </w:r>
    </w:p>
    <w:p>
      <w:pPr>
        <w:pStyle w:val="Compact"/>
        <w:numPr>
          <w:ilvl w:val="0"/>
          <w:numId w:val="1014"/>
        </w:numPr>
      </w:pPr>
      <w:r>
        <w:t xml:space="preserve">Advanced Analytics</w:t>
      </w:r>
    </w:p>
    <w:p>
      <w:pPr>
        <w:pStyle w:val="Compact"/>
        <w:numPr>
          <w:ilvl w:val="0"/>
          <w:numId w:val="1014"/>
        </w:numPr>
      </w:pPr>
      <w:r>
        <w:t xml:space="preserve">Reporting Services</w:t>
      </w:r>
    </w:p>
    <w:p>
      <w:pPr>
        <w:pStyle w:val="Compact"/>
        <w:numPr>
          <w:ilvl w:val="0"/>
          <w:numId w:val="1014"/>
        </w:numPr>
      </w:pPr>
      <w:r>
        <w:t xml:space="preserve">Plugin Ecosystem</w:t>
      </w:r>
    </w:p>
    <w:p>
      <w:pPr>
        <w:pStyle w:val="Compact"/>
        <w:numPr>
          <w:ilvl w:val="0"/>
          <w:numId w:val="1014"/>
        </w:numPr>
      </w:pPr>
      <w:r>
        <w:t xml:space="preserve">AI-assisted Decision Support</w:t>
      </w:r>
    </w:p>
    <w:p>
      <w:pPr>
        <w:pStyle w:val="Compact"/>
        <w:numPr>
          <w:ilvl w:val="0"/>
          <w:numId w:val="1014"/>
        </w:numPr>
      </w:pPr>
      <w:r>
        <w:t xml:space="preserve">Additional Broker Integrations</w:t>
      </w:r>
    </w:p>
    <w:p>
      <w:pPr>
        <w:pStyle w:val="FirstParagraph"/>
      </w:pPr>
      <w:r>
        <w:t xml:space="preserve">Future applications shall reuse established platform capabilities where appropriate.</w:t>
      </w:r>
    </w:p>
    <w:p>
      <w:pPr>
        <w:pStyle w:val="BodyText"/>
      </w:pPr>
      <w:r>
        <w:t xml:space="preserve">The platform shall not be generalized prematurely for hypothetical future applications.</w:t>
      </w:r>
    </w:p>
    <w:p>
      <w:r>
        <w:pict>
          <v:rect style="width:0;height:1.5pt" o:hralign="center" o:hrstd="t" o:hr="t"/>
        </w:pict>
      </w:r>
    </w:p>
    <w:bookmarkEnd w:id="24"/>
    <w:bookmarkStart w:id="25" w:name="success-criteria"/>
    <w:p>
      <w:pPr>
        <w:pStyle w:val="Heading1"/>
      </w:pPr>
      <w:r>
        <w:t xml:space="preserve">Success Criteria</w:t>
      </w:r>
    </w:p>
    <w:p>
      <w:pPr>
        <w:pStyle w:val="FirstParagraph"/>
      </w:pPr>
      <w:r>
        <w:t xml:space="preserve">The project is successful when:</w:t>
      </w:r>
    </w:p>
    <w:p>
      <w:pPr>
        <w:pStyle w:val="Compact"/>
        <w:numPr>
          <w:ilvl w:val="0"/>
          <w:numId w:val="1015"/>
        </w:numPr>
      </w:pPr>
      <w:r>
        <w:t xml:space="preserve">the Trading Cockpit provides usable product increments</w:t>
      </w:r>
    </w:p>
    <w:p>
      <w:pPr>
        <w:pStyle w:val="Compact"/>
        <w:numPr>
          <w:ilvl w:val="0"/>
          <w:numId w:val="1015"/>
        </w:numPr>
      </w:pPr>
      <w:r>
        <w:t xml:space="preserve">core trading workflows are integrated</w:t>
      </w:r>
    </w:p>
    <w:p>
      <w:pPr>
        <w:pStyle w:val="Compact"/>
        <w:numPr>
          <w:ilvl w:val="0"/>
          <w:numId w:val="1015"/>
        </w:numPr>
      </w:pPr>
      <w:r>
        <w:t xml:space="preserve">user context is preserved</w:t>
      </w:r>
    </w:p>
    <w:p>
      <w:pPr>
        <w:pStyle w:val="Compact"/>
        <w:numPr>
          <w:ilvl w:val="0"/>
          <w:numId w:val="1015"/>
        </w:numPr>
      </w:pPr>
      <w:r>
        <w:t xml:space="preserve">unnecessary tool switching is reduced</w:t>
      </w:r>
    </w:p>
    <w:p>
      <w:pPr>
        <w:pStyle w:val="Compact"/>
        <w:numPr>
          <w:ilvl w:val="0"/>
          <w:numId w:val="1015"/>
        </w:numPr>
      </w:pPr>
      <w:r>
        <w:t xml:space="preserve">operational state is transparent</w:t>
      </w:r>
    </w:p>
    <w:p>
      <w:pPr>
        <w:pStyle w:val="Compact"/>
        <w:numPr>
          <w:ilvl w:val="0"/>
          <w:numId w:val="1015"/>
        </w:numPr>
      </w:pPr>
      <w:r>
        <w:t xml:space="preserve">application behaviour remains deterministic</w:t>
      </w:r>
    </w:p>
    <w:p>
      <w:pPr>
        <w:pStyle w:val="Compact"/>
        <w:numPr>
          <w:ilvl w:val="0"/>
          <w:numId w:val="1015"/>
        </w:numPr>
      </w:pPr>
      <w:r>
        <w:t xml:space="preserve">architecture remains maintainable</w:t>
      </w:r>
    </w:p>
    <w:p>
      <w:pPr>
        <w:pStyle w:val="Compact"/>
        <w:numPr>
          <w:ilvl w:val="0"/>
          <w:numId w:val="1015"/>
        </w:numPr>
      </w:pPr>
      <w:r>
        <w:t xml:space="preserve">quality assurance is automated</w:t>
      </w:r>
    </w:p>
    <w:p>
      <w:pPr>
        <w:pStyle w:val="Compact"/>
        <w:numPr>
          <w:ilvl w:val="0"/>
          <w:numId w:val="1015"/>
        </w:numPr>
      </w:pPr>
      <w:r>
        <w:t xml:space="preserve">documentation remains synchronized and reproducible</w:t>
      </w:r>
    </w:p>
    <w:p>
      <w:r>
        <w:pict>
          <v:rect style="width:0;height:1.5pt" o:hralign="center" o:hrstd="t" o:hr="t"/>
        </w:pict>
      </w:r>
    </w:p>
    <w:bookmarkEnd w:id="25"/>
    <w:bookmarkStart w:id="26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6"/>
        </w:numPr>
      </w:pPr>
      <w:r>
        <w:t xml:space="preserve">Product_Vision.md</w:t>
      </w:r>
    </w:p>
    <w:p>
      <w:pPr>
        <w:pStyle w:val="Compact"/>
        <w:numPr>
          <w:ilvl w:val="0"/>
          <w:numId w:val="1016"/>
        </w:numPr>
      </w:pPr>
      <w:r>
        <w:t xml:space="preserve">Product_Roadmap.md</w:t>
      </w:r>
    </w:p>
    <w:p>
      <w:pPr>
        <w:pStyle w:val="Compact"/>
        <w:numPr>
          <w:ilvl w:val="0"/>
          <w:numId w:val="1016"/>
        </w:numPr>
      </w:pPr>
      <w:r>
        <w:t xml:space="preserve">Architecture.md</w:t>
      </w:r>
    </w:p>
    <w:p>
      <w:pPr>
        <w:pStyle w:val="Compact"/>
        <w:numPr>
          <w:ilvl w:val="0"/>
          <w:numId w:val="1016"/>
        </w:numPr>
      </w:pPr>
      <w:r>
        <w:t xml:space="preserve">Technical_Specifications.md</w:t>
      </w:r>
    </w:p>
    <w:p>
      <w:pPr>
        <w:pStyle w:val="Compact"/>
        <w:numPr>
          <w:ilvl w:val="0"/>
          <w:numId w:val="1016"/>
        </w:numPr>
      </w:pPr>
      <w:r>
        <w:t xml:space="preserve">Widget_Catalog.md</w:t>
      </w:r>
    </w:p>
    <w:p>
      <w:pPr>
        <w:pStyle w:val="Compact"/>
        <w:numPr>
          <w:ilvl w:val="0"/>
          <w:numId w:val="1016"/>
        </w:numPr>
      </w:pPr>
      <w:r>
        <w:t xml:space="preserve">UI_Guidelines.md</w:t>
      </w:r>
    </w:p>
    <w:p>
      <w:pPr>
        <w:pStyle w:val="Compact"/>
        <w:numPr>
          <w:ilvl w:val="0"/>
          <w:numId w:val="1016"/>
        </w:numPr>
      </w:pPr>
      <w:r>
        <w:t xml:space="preserve">Decision_Log.md</w:t>
      </w:r>
    </w:p>
    <w:p>
      <w:pPr>
        <w:pStyle w:val="Compact"/>
        <w:numPr>
          <w:ilvl w:val="0"/>
          <w:numId w:val="1016"/>
        </w:numPr>
      </w:pPr>
      <w:r>
        <w:t xml:space="preserve">AGENTS.md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2026-07-06T17:14:03Z</dcterms:created>
  <dcterms:modified xsi:type="dcterms:W3CDTF">2026-07-06T17:14:03Z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