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widget-catalog"/>
    <w:p>
      <w:pPr>
        <w:pStyle w:val="Heading1"/>
      </w:pPr>
      <w:r>
        <w:t xml:space="preserve">Widget Catalog</w:t>
      </w:r>
    </w:p>
    <w:p>
      <w:pPr>
        <w:pStyle w:val="FirstParagraph"/>
      </w:pPr>
      <w:r>
        <w:t xml:space="preserve">Version: 1.0</w:t>
      </w:r>
    </w:p>
    <w:p>
      <w:r>
        <w:pict>
          <v:rect style="width:0;height:1.5pt" o:hralign="center" o:hrstd="t" o:hr="t"/>
        </w:pict>
      </w:r>
    </w:p>
    <w:bookmarkEnd w:id="9"/>
    <w:bookmarkStart w:id="1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defines the standard widgets of the Trading Cockpit.</w:t>
      </w:r>
    </w:p>
    <w:p>
      <w:pPr>
        <w:pStyle w:val="BodyText"/>
      </w:pPr>
      <w:r>
        <w:t xml:space="preserve">Widgets are reusable presentation components that support defined trading workflows within configurable workspaces.</w:t>
      </w:r>
    </w:p>
    <w:p>
      <w:pPr>
        <w:pStyle w:val="BodyText"/>
      </w:pPr>
      <w:r>
        <w:t xml:space="preserve">The catalog defines:</w:t>
      </w:r>
    </w:p>
    <w:p>
      <w:pPr>
        <w:pStyle w:val="Compact"/>
        <w:numPr>
          <w:ilvl w:val="0"/>
          <w:numId w:val="1001"/>
        </w:numPr>
      </w:pPr>
      <w:r>
        <w:t xml:space="preserve">widget responsibility</w:t>
      </w:r>
    </w:p>
    <w:p>
      <w:pPr>
        <w:pStyle w:val="Compact"/>
        <w:numPr>
          <w:ilvl w:val="0"/>
          <w:numId w:val="1001"/>
        </w:numPr>
      </w:pPr>
      <w:r>
        <w:t xml:space="preserve">workflow role</w:t>
      </w:r>
    </w:p>
    <w:p>
      <w:pPr>
        <w:pStyle w:val="Compact"/>
        <w:numPr>
          <w:ilvl w:val="0"/>
          <w:numId w:val="1001"/>
        </w:numPr>
      </w:pPr>
      <w:r>
        <w:t xml:space="preserve">roadmap phase</w:t>
      </w:r>
    </w:p>
    <w:p>
      <w:pPr>
        <w:pStyle w:val="Compact"/>
        <w:numPr>
          <w:ilvl w:val="0"/>
          <w:numId w:val="1001"/>
        </w:numPr>
      </w:pPr>
      <w:r>
        <w:t xml:space="preserve">shared instrument context behaviour</w:t>
      </w:r>
    </w:p>
    <w:p>
      <w:pPr>
        <w:pStyle w:val="Compact"/>
        <w:numPr>
          <w:ilvl w:val="0"/>
          <w:numId w:val="1001"/>
        </w:numPr>
      </w:pPr>
      <w:r>
        <w:t xml:space="preserve">core functional expectations</w:t>
      </w:r>
    </w:p>
    <w:p>
      <w:pPr>
        <w:pStyle w:val="FirstParagraph"/>
      </w:pPr>
      <w:r>
        <w:t xml:space="preserve">Widgets shall not be introduced as isolated UI features without a defined product workflow.</w:t>
      </w:r>
    </w:p>
    <w:p>
      <w:r>
        <w:pict>
          <v:rect style="width:0;height:1.5pt" o:hralign="center" o:hrstd="t" o:hr="t"/>
        </w:pict>
      </w:r>
    </w:p>
    <w:bookmarkEnd w:id="10"/>
    <w:bookmarkStart w:id="11" w:name="widget-architecture-principles"/>
    <w:p>
      <w:pPr>
        <w:pStyle w:val="Heading1"/>
      </w:pPr>
      <w:r>
        <w:t xml:space="preserve">Widget Architecture Principles</w:t>
      </w:r>
    </w:p>
    <w:p>
      <w:pPr>
        <w:pStyle w:val="FirstParagraph"/>
      </w:pPr>
      <w:r>
        <w:t xml:space="preserve">Every widget shall:</w:t>
      </w:r>
    </w:p>
    <w:p>
      <w:pPr>
        <w:pStyle w:val="Compact"/>
        <w:numPr>
          <w:ilvl w:val="0"/>
          <w:numId w:val="1002"/>
        </w:numPr>
      </w:pPr>
      <w:r>
        <w:t xml:space="preserve">have one primary responsibility</w:t>
      </w:r>
    </w:p>
    <w:p>
      <w:pPr>
        <w:pStyle w:val="Compact"/>
        <w:numPr>
          <w:ilvl w:val="0"/>
          <w:numId w:val="1002"/>
        </w:numPr>
      </w:pPr>
      <w:r>
        <w:t xml:space="preserve">expose explicit dependencies</w:t>
      </w:r>
    </w:p>
    <w:p>
      <w:pPr>
        <w:pStyle w:val="Compact"/>
        <w:numPr>
          <w:ilvl w:val="0"/>
          <w:numId w:val="1002"/>
        </w:numPr>
      </w:pPr>
      <w:r>
        <w:t xml:space="preserve">remain independently testable where practical</w:t>
      </w:r>
    </w:p>
    <w:p>
      <w:pPr>
        <w:pStyle w:val="Compact"/>
        <w:numPr>
          <w:ilvl w:val="0"/>
          <w:numId w:val="1002"/>
        </w:numPr>
      </w:pPr>
      <w:r>
        <w:t xml:space="preserve">support application theming</w:t>
      </w:r>
    </w:p>
    <w:p>
      <w:pPr>
        <w:pStyle w:val="Compact"/>
        <w:numPr>
          <w:ilvl w:val="0"/>
          <w:numId w:val="1002"/>
        </w:numPr>
      </w:pPr>
      <w:r>
        <w:t xml:space="preserve">support docking and resizing</w:t>
      </w:r>
    </w:p>
    <w:p>
      <w:pPr>
        <w:pStyle w:val="Compact"/>
        <w:numPr>
          <w:ilvl w:val="0"/>
          <w:numId w:val="1002"/>
        </w:numPr>
      </w:pPr>
      <w:r>
        <w:t xml:space="preserve">support workspace state persistence where applicable</w:t>
      </w:r>
    </w:p>
    <w:p>
      <w:pPr>
        <w:pStyle w:val="Compact"/>
        <w:numPr>
          <w:ilvl w:val="0"/>
          <w:numId w:val="1002"/>
        </w:numPr>
      </w:pPr>
      <w:r>
        <w:t xml:space="preserve">provide visible loading states</w:t>
      </w:r>
    </w:p>
    <w:p>
      <w:pPr>
        <w:pStyle w:val="Compact"/>
        <w:numPr>
          <w:ilvl w:val="0"/>
          <w:numId w:val="1002"/>
        </w:numPr>
      </w:pPr>
      <w:r>
        <w:t xml:space="preserve">provide visible error states</w:t>
      </w:r>
    </w:p>
    <w:p>
      <w:pPr>
        <w:pStyle w:val="Compact"/>
        <w:numPr>
          <w:ilvl w:val="0"/>
          <w:numId w:val="1002"/>
        </w:numPr>
      </w:pPr>
      <w:r>
        <w:t xml:space="preserve">avoid direct infrastructure access</w:t>
      </w:r>
    </w:p>
    <w:p>
      <w:pPr>
        <w:pStyle w:val="Compact"/>
        <w:numPr>
          <w:ilvl w:val="0"/>
          <w:numId w:val="1002"/>
        </w:numPr>
      </w:pPr>
      <w:r>
        <w:t xml:space="preserve">avoid domain business rules</w:t>
      </w:r>
    </w:p>
    <w:p>
      <w:pPr>
        <w:pStyle w:val="FirstParagraph"/>
      </w:pPr>
      <w:r>
        <w:t xml:space="preserve">Widgets shall interact through application services, presentation adapters and explicit context mechanisms.</w:t>
      </w:r>
    </w:p>
    <w:p>
      <w:r>
        <w:pict>
          <v:rect style="width:0;height:1.5pt" o:hralign="center" o:hrstd="t" o:hr="t"/>
        </w:pict>
      </w:r>
    </w:p>
    <w:bookmarkEnd w:id="11"/>
    <w:bookmarkStart w:id="12" w:name="shared-instrument-context"/>
    <w:p>
      <w:pPr>
        <w:pStyle w:val="Heading1"/>
      </w:pPr>
      <w:r>
        <w:t xml:space="preserve">Shared Instrument Context</w:t>
      </w:r>
    </w:p>
    <w:p>
      <w:pPr>
        <w:pStyle w:val="FirstParagraph"/>
      </w:pPr>
      <w:r>
        <w:t xml:space="preserve">Compatible widgets may participate in the shared instrument context.</w:t>
      </w:r>
    </w:p>
    <w:p>
      <w:pPr>
        <w:pStyle w:val="BodyText"/>
      </w:pPr>
      <w:r>
        <w:t xml:space="preserve">A widget may:</w:t>
      </w:r>
    </w:p>
    <w:p>
      <w:pPr>
        <w:pStyle w:val="Compact"/>
        <w:numPr>
          <w:ilvl w:val="0"/>
          <w:numId w:val="1003"/>
        </w:numPr>
      </w:pPr>
      <w:r>
        <w:t xml:space="preserve">publish instrument context</w:t>
      </w:r>
    </w:p>
    <w:p>
      <w:pPr>
        <w:pStyle w:val="Compact"/>
        <w:numPr>
          <w:ilvl w:val="0"/>
          <w:numId w:val="1003"/>
        </w:numPr>
      </w:pPr>
      <w:r>
        <w:t xml:space="preserve">follow instrument context</w:t>
      </w:r>
    </w:p>
    <w:p>
      <w:pPr>
        <w:pStyle w:val="Compact"/>
        <w:numPr>
          <w:ilvl w:val="0"/>
          <w:numId w:val="1003"/>
        </w:numPr>
      </w:pPr>
      <w:r>
        <w:t xml:space="preserve">publish and follow instrument context</w:t>
      </w:r>
    </w:p>
    <w:p>
      <w:pPr>
        <w:pStyle w:val="Compact"/>
        <w:numPr>
          <w:ilvl w:val="0"/>
          <w:numId w:val="1003"/>
        </w:numPr>
      </w:pPr>
      <w:r>
        <w:t xml:space="preserve">remain context-independent</w:t>
      </w:r>
    </w:p>
    <w:p>
      <w:pPr>
        <w:pStyle w:val="FirstParagraph"/>
      </w:pPr>
      <w:r>
        <w:t xml:space="preserve">Context propagation shall be explicit.</w:t>
      </w:r>
    </w:p>
    <w:p>
      <w:pPr>
        <w:pStyle w:val="BodyText"/>
      </w:pPr>
      <w:r>
        <w:t xml:space="preserve">A widget that follows shared context shall clearly reflect the currently selected instrument.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Watchlist → Price Chart</w:t>
      </w:r>
    </w:p>
    <w:p>
      <w:pPr>
        <w:pStyle w:val="Compact"/>
        <w:numPr>
          <w:ilvl w:val="0"/>
          <w:numId w:val="1004"/>
        </w:numPr>
      </w:pPr>
      <w:r>
        <w:t xml:space="preserve">Market Scanner → Price Chart</w:t>
      </w:r>
    </w:p>
    <w:p>
      <w:pPr>
        <w:pStyle w:val="Compact"/>
        <w:numPr>
          <w:ilvl w:val="0"/>
          <w:numId w:val="1004"/>
        </w:numPr>
      </w:pPr>
      <w:r>
        <w:t xml:space="preserve">Market Scanner → Decision Center</w:t>
      </w:r>
    </w:p>
    <w:p>
      <w:pPr>
        <w:pStyle w:val="Compact"/>
        <w:numPr>
          <w:ilvl w:val="0"/>
          <w:numId w:val="1004"/>
        </w:numPr>
      </w:pPr>
      <w:r>
        <w:t xml:space="preserve">Positions → Price Chart</w:t>
      </w:r>
    </w:p>
    <w:p>
      <w:pPr>
        <w:pStyle w:val="Compact"/>
        <w:numPr>
          <w:ilvl w:val="0"/>
          <w:numId w:val="1004"/>
        </w:numPr>
      </w:pPr>
      <w:r>
        <w:t xml:space="preserve">Decision Center → Order Entry</w:t>
      </w:r>
    </w:p>
    <w:p>
      <w:r>
        <w:pict>
          <v:rect style="width:0;height:1.5pt" o:hralign="center" o:hrstd="t" o:hr="t"/>
        </w:pict>
      </w:r>
    </w:p>
    <w:bookmarkEnd w:id="12"/>
    <w:bookmarkStart w:id="13" w:name="widget-lifecycle"/>
    <w:p>
      <w:pPr>
        <w:pStyle w:val="Heading1"/>
      </w:pPr>
      <w:r>
        <w:t xml:space="preserve">Widget Lifecycle</w:t>
      </w:r>
    </w:p>
    <w:p>
      <w:pPr>
        <w:pStyle w:val="FirstParagraph"/>
      </w:pPr>
      <w:r>
        <w:t xml:space="preserve">Widgets shall support a controlled lifecycle where applicable:</w:t>
      </w:r>
    </w:p>
    <w:p>
      <w:pPr>
        <w:pStyle w:val="Compact"/>
        <w:numPr>
          <w:ilvl w:val="0"/>
          <w:numId w:val="1005"/>
        </w:numPr>
      </w:pPr>
      <w:r>
        <w:t xml:space="preserve">Create</w:t>
      </w:r>
    </w:p>
    <w:p>
      <w:pPr>
        <w:pStyle w:val="Compact"/>
        <w:numPr>
          <w:ilvl w:val="0"/>
          <w:numId w:val="1005"/>
        </w:numPr>
      </w:pPr>
      <w:r>
        <w:t xml:space="preserve">Initialize</w:t>
      </w:r>
    </w:p>
    <w:p>
      <w:pPr>
        <w:pStyle w:val="Compact"/>
        <w:numPr>
          <w:ilvl w:val="0"/>
          <w:numId w:val="1005"/>
        </w:numPr>
      </w:pPr>
      <w:r>
        <w:t xml:space="preserve">Load state</w:t>
      </w:r>
    </w:p>
    <w:p>
      <w:pPr>
        <w:pStyle w:val="Compact"/>
        <w:numPr>
          <w:ilvl w:val="0"/>
          <w:numId w:val="1005"/>
        </w:numPr>
      </w:pPr>
      <w:r>
        <w:t xml:space="preserve">Enter active state</w:t>
      </w:r>
    </w:p>
    <w:p>
      <w:pPr>
        <w:pStyle w:val="Compact"/>
        <w:numPr>
          <w:ilvl w:val="0"/>
          <w:numId w:val="1005"/>
        </w:numPr>
      </w:pPr>
      <w:r>
        <w:t xml:space="preserve">Receive updates</w:t>
      </w:r>
    </w:p>
    <w:p>
      <w:pPr>
        <w:pStyle w:val="Compact"/>
        <w:numPr>
          <w:ilvl w:val="0"/>
          <w:numId w:val="1005"/>
        </w:numPr>
      </w:pPr>
      <w:r>
        <w:t xml:space="preserve">Persist state</w:t>
      </w:r>
    </w:p>
    <w:p>
      <w:pPr>
        <w:pStyle w:val="Compact"/>
        <w:numPr>
          <w:ilvl w:val="0"/>
          <w:numId w:val="1005"/>
        </w:numPr>
      </w:pPr>
      <w:r>
        <w:t xml:space="preserve">Dispose</w:t>
      </w:r>
    </w:p>
    <w:p>
      <w:pPr>
        <w:pStyle w:val="FirstParagraph"/>
      </w:pPr>
      <w:r>
        <w:t xml:space="preserve">Widgets shall release subscriptions and resources during disposal.</w:t>
      </w:r>
    </w:p>
    <w:p>
      <w:pPr>
        <w:pStyle w:val="BodyText"/>
      </w:pPr>
      <w:r>
        <w:t xml:space="preserve">Widget lifecycle failures shall not silently destabilize the complete workspace.</w:t>
      </w:r>
    </w:p>
    <w:p>
      <w:r>
        <w:pict>
          <v:rect style="width:0;height:1.5pt" o:hralign="center" o:hrstd="t" o:hr="t"/>
        </w:pict>
      </w:r>
    </w:p>
    <w:bookmarkEnd w:id="13"/>
    <w:bookmarkStart w:id="20" w:name="phase-2-trading-cockpit-shell"/>
    <w:p>
      <w:pPr>
        <w:pStyle w:val="Heading1"/>
      </w:pPr>
      <w:r>
        <w:t xml:space="preserve">Phase 2 – Trading Cockpit Shell</w:t>
      </w:r>
    </w:p>
    <w:bookmarkStart w:id="14" w:name="market-overview"/>
    <w:p>
      <w:pPr>
        <w:pStyle w:val="Heading2"/>
      </w:pPr>
      <w:r>
        <w:t xml:space="preserve">Market Overview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Market</w:t>
      </w:r>
      <w:r>
        <w:t xml:space="preserve"> </w:t>
      </w:r>
      <w:r>
        <w:rPr>
          <w:b/>
          <w:bCs/>
        </w:rPr>
        <w:t xml:space="preserve">Roadmap Phase:</w:t>
      </w:r>
      <w:r>
        <w:t xml:space="preserve"> </w:t>
      </w:r>
      <w:r>
        <w:t xml:space="preserve">2 / 3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Context-independent</w:t>
      </w:r>
    </w:p>
    <w:p>
      <w:pPr>
        <w:pStyle w:val="BodyText"/>
      </w:pPr>
      <w:r>
        <w:t xml:space="preserve">Responsibility:</w:t>
      </w:r>
    </w:p>
    <w:p>
      <w:pPr>
        <w:pStyle w:val="BodyText"/>
      </w:pPr>
      <w:r>
        <w:t xml:space="preserve">Provide a compact overview of the current market state.</w:t>
      </w:r>
    </w:p>
    <w:p>
      <w:pPr>
        <w:pStyle w:val="BodyText"/>
      </w:pPr>
      <w:r>
        <w:t xml:space="preserve">Initial capabilities:</w:t>
      </w:r>
    </w:p>
    <w:p>
      <w:pPr>
        <w:pStyle w:val="Compact"/>
        <w:numPr>
          <w:ilvl w:val="0"/>
          <w:numId w:val="1006"/>
        </w:numPr>
      </w:pPr>
      <w:r>
        <w:t xml:space="preserve">market status</w:t>
      </w:r>
    </w:p>
    <w:p>
      <w:pPr>
        <w:pStyle w:val="Compact"/>
        <w:numPr>
          <w:ilvl w:val="0"/>
          <w:numId w:val="1006"/>
        </w:numPr>
      </w:pPr>
      <w:r>
        <w:t xml:space="preserve">major market indicators</w:t>
      </w:r>
    </w:p>
    <w:p>
      <w:pPr>
        <w:pStyle w:val="Compact"/>
        <w:numPr>
          <w:ilvl w:val="0"/>
          <w:numId w:val="1006"/>
        </w:numPr>
      </w:pPr>
      <w:r>
        <w:t xml:space="preserve">data availability state</w:t>
      </w:r>
    </w:p>
    <w:p>
      <w:pPr>
        <w:pStyle w:val="Compact"/>
        <w:numPr>
          <w:ilvl w:val="0"/>
          <w:numId w:val="1006"/>
        </w:numPr>
      </w:pPr>
      <w:r>
        <w:t xml:space="preserve">data freshness state</w:t>
      </w:r>
    </w:p>
    <w:p>
      <w:pPr>
        <w:pStyle w:val="FirstParagraph"/>
      </w:pPr>
      <w:r>
        <w:t xml:space="preserve">The Phase 2 implementation may initially use placeholder data.</w:t>
      </w:r>
    </w:p>
    <w:p>
      <w:r>
        <w:pict>
          <v:rect style="width:0;height:1.5pt" o:hralign="center" o:hrstd="t" o:hr="t"/>
        </w:pict>
      </w:r>
    </w:p>
    <w:bookmarkEnd w:id="14"/>
    <w:bookmarkStart w:id="15" w:name="watchlist"/>
    <w:p>
      <w:pPr>
        <w:pStyle w:val="Heading2"/>
      </w:pPr>
      <w:r>
        <w:t xml:space="preserve">Watchlist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Market</w:t>
      </w:r>
      <w:r>
        <w:t xml:space="preserve"> </w:t>
      </w:r>
      <w:r>
        <w:rPr>
          <w:b/>
          <w:bCs/>
        </w:rPr>
        <w:t xml:space="preserve">Roadmap Phase:</w:t>
      </w:r>
      <w:r>
        <w:t xml:space="preserve"> </w:t>
      </w:r>
      <w:r>
        <w:t xml:space="preserve">2 / 3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Publish instrument context</w:t>
      </w:r>
    </w:p>
    <w:p>
      <w:pPr>
        <w:pStyle w:val="BodyText"/>
      </w:pPr>
      <w:r>
        <w:t xml:space="preserve">Responsibility:</w:t>
      </w:r>
    </w:p>
    <w:p>
      <w:pPr>
        <w:pStyle w:val="BodyText"/>
      </w:pPr>
      <w:r>
        <w:t xml:space="preserve">Maintain and display user-defined instrument lists.</w:t>
      </w:r>
    </w:p>
    <w:p>
      <w:pPr>
        <w:pStyle w:val="BodyText"/>
      </w:pPr>
      <w:r>
        <w:t xml:space="preserve">Capabilities:</w:t>
      </w:r>
    </w:p>
    <w:p>
      <w:pPr>
        <w:pStyle w:val="Compact"/>
        <w:numPr>
          <w:ilvl w:val="0"/>
          <w:numId w:val="1007"/>
        </w:numPr>
      </w:pPr>
      <w:r>
        <w:t xml:space="preserve">display instruments</w:t>
      </w:r>
    </w:p>
    <w:p>
      <w:pPr>
        <w:pStyle w:val="Compact"/>
        <w:numPr>
          <w:ilvl w:val="0"/>
          <w:numId w:val="1007"/>
        </w:numPr>
      </w:pPr>
      <w:r>
        <w:t xml:space="preserve">select instrument</w:t>
      </w:r>
    </w:p>
    <w:p>
      <w:pPr>
        <w:pStyle w:val="Compact"/>
        <w:numPr>
          <w:ilvl w:val="0"/>
          <w:numId w:val="1007"/>
        </w:numPr>
      </w:pPr>
      <w:r>
        <w:t xml:space="preserve">add instrument</w:t>
      </w:r>
    </w:p>
    <w:p>
      <w:pPr>
        <w:pStyle w:val="Compact"/>
        <w:numPr>
          <w:ilvl w:val="0"/>
          <w:numId w:val="1007"/>
        </w:numPr>
      </w:pPr>
      <w:r>
        <w:t xml:space="preserve">remove instrument</w:t>
      </w:r>
    </w:p>
    <w:p>
      <w:pPr>
        <w:pStyle w:val="Compact"/>
        <w:numPr>
          <w:ilvl w:val="0"/>
          <w:numId w:val="1007"/>
        </w:numPr>
      </w:pPr>
      <w:r>
        <w:t xml:space="preserve">reorder instruments</w:t>
      </w:r>
    </w:p>
    <w:p>
      <w:pPr>
        <w:pStyle w:val="Compact"/>
        <w:numPr>
          <w:ilvl w:val="0"/>
          <w:numId w:val="1007"/>
        </w:numPr>
      </w:pPr>
      <w:r>
        <w:t xml:space="preserve">persist watchlist state</w:t>
      </w:r>
    </w:p>
    <w:p>
      <w:pPr>
        <w:pStyle w:val="Compact"/>
        <w:numPr>
          <w:ilvl w:val="0"/>
          <w:numId w:val="1007"/>
        </w:numPr>
      </w:pPr>
      <w:r>
        <w:t xml:space="preserve">display quote state where available</w:t>
      </w:r>
    </w:p>
    <w:p>
      <w:pPr>
        <w:pStyle w:val="FirstParagraph"/>
      </w:pPr>
      <w:r>
        <w:t xml:space="preserve">Selecting an instrument shall publish shared instrument context.</w:t>
      </w:r>
    </w:p>
    <w:p>
      <w:r>
        <w:pict>
          <v:rect style="width:0;height:1.5pt" o:hralign="center" o:hrstd="t" o:hr="t"/>
        </w:pict>
      </w:r>
    </w:p>
    <w:bookmarkEnd w:id="15"/>
    <w:bookmarkStart w:id="16" w:name="portfolio-overview"/>
    <w:p>
      <w:pPr>
        <w:pStyle w:val="Heading2"/>
      </w:pPr>
      <w:r>
        <w:t xml:space="preserve">Portfolio Overview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Portfolio</w:t>
      </w:r>
      <w:r>
        <w:t xml:space="preserve"> </w:t>
      </w:r>
      <w:r>
        <w:rPr>
          <w:b/>
          <w:bCs/>
        </w:rPr>
        <w:t xml:space="preserve">Roadmap Phase:</w:t>
      </w:r>
      <w:r>
        <w:t xml:space="preserve"> </w:t>
      </w:r>
      <w:r>
        <w:t xml:space="preserve">2 / 5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Context-independent</w:t>
      </w:r>
    </w:p>
    <w:p>
      <w:pPr>
        <w:pStyle w:val="BodyText"/>
      </w:pPr>
      <w:r>
        <w:t xml:space="preserve">Responsibility:</w:t>
      </w:r>
    </w:p>
    <w:p>
      <w:pPr>
        <w:pStyle w:val="BodyText"/>
      </w:pPr>
      <w:r>
        <w:t xml:space="preserve">Provide a compact overview of the current portfolio state.</w:t>
      </w:r>
    </w:p>
    <w:p>
      <w:pPr>
        <w:pStyle w:val="BodyText"/>
      </w:pPr>
      <w:r>
        <w:t xml:space="preserve">Capabilities may include:</w:t>
      </w:r>
    </w:p>
    <w:p>
      <w:pPr>
        <w:pStyle w:val="Compact"/>
        <w:numPr>
          <w:ilvl w:val="0"/>
          <w:numId w:val="1008"/>
        </w:numPr>
      </w:pPr>
      <w:r>
        <w:t xml:space="preserve">account context</w:t>
      </w:r>
    </w:p>
    <w:p>
      <w:pPr>
        <w:pStyle w:val="Compact"/>
        <w:numPr>
          <w:ilvl w:val="0"/>
          <w:numId w:val="1008"/>
        </w:numPr>
      </w:pPr>
      <w:r>
        <w:t xml:space="preserve">portfolio value</w:t>
      </w:r>
    </w:p>
    <w:p>
      <w:pPr>
        <w:pStyle w:val="Compact"/>
        <w:numPr>
          <w:ilvl w:val="0"/>
          <w:numId w:val="1008"/>
        </w:numPr>
      </w:pPr>
      <w:r>
        <w:t xml:space="preserve">cash information</w:t>
      </w:r>
    </w:p>
    <w:p>
      <w:pPr>
        <w:pStyle w:val="Compact"/>
        <w:numPr>
          <w:ilvl w:val="0"/>
          <w:numId w:val="1008"/>
        </w:numPr>
      </w:pPr>
      <w:r>
        <w:t xml:space="preserve">unrealized P&amp;L</w:t>
      </w:r>
    </w:p>
    <w:p>
      <w:pPr>
        <w:pStyle w:val="Compact"/>
        <w:numPr>
          <w:ilvl w:val="0"/>
          <w:numId w:val="1008"/>
        </w:numPr>
      </w:pPr>
      <w:r>
        <w:t xml:space="preserve">realized P&amp;L</w:t>
      </w:r>
    </w:p>
    <w:p>
      <w:pPr>
        <w:pStyle w:val="Compact"/>
        <w:numPr>
          <w:ilvl w:val="0"/>
          <w:numId w:val="1008"/>
        </w:numPr>
      </w:pPr>
      <w:r>
        <w:t xml:space="preserve">broker state</w:t>
      </w:r>
    </w:p>
    <w:p>
      <w:pPr>
        <w:pStyle w:val="Compact"/>
        <w:numPr>
          <w:ilvl w:val="0"/>
          <w:numId w:val="1008"/>
        </w:numPr>
      </w:pPr>
      <w:r>
        <w:t xml:space="preserve">data timestamp</w:t>
      </w:r>
    </w:p>
    <w:p>
      <w:pPr>
        <w:pStyle w:val="FirstParagraph"/>
      </w:pPr>
      <w:r>
        <w:t xml:space="preserve">Unavailable financial values shall remain explicitly unavailable.</w:t>
      </w:r>
    </w:p>
    <w:p>
      <w:r>
        <w:pict>
          <v:rect style="width:0;height:1.5pt" o:hralign="center" o:hrstd="t" o:hr="t"/>
        </w:pict>
      </w:r>
    </w:p>
    <w:bookmarkEnd w:id="16"/>
    <w:bookmarkStart w:id="17" w:name="risk-overview"/>
    <w:p>
      <w:pPr>
        <w:pStyle w:val="Heading2"/>
      </w:pPr>
      <w:r>
        <w:t xml:space="preserve">Risk Overview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Risk</w:t>
      </w:r>
      <w:r>
        <w:t xml:space="preserve"> </w:t>
      </w:r>
      <w:r>
        <w:rPr>
          <w:b/>
          <w:bCs/>
        </w:rPr>
        <w:t xml:space="preserve">Roadmap Phase:</w:t>
      </w:r>
      <w:r>
        <w:t xml:space="preserve"> </w:t>
      </w:r>
      <w:r>
        <w:t xml:space="preserve">2 / 5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Context-independent</w:t>
      </w:r>
    </w:p>
    <w:p>
      <w:pPr>
        <w:pStyle w:val="BodyText"/>
      </w:pPr>
      <w:r>
        <w:t xml:space="preserve">Responsibility:</w:t>
      </w:r>
    </w:p>
    <w:p>
      <w:pPr>
        <w:pStyle w:val="BodyText"/>
      </w:pPr>
      <w:r>
        <w:t xml:space="preserve">Provide a compact overview of available portfolio risk information.</w:t>
      </w:r>
    </w:p>
    <w:p>
      <w:pPr>
        <w:pStyle w:val="BodyText"/>
      </w:pPr>
      <w:r>
        <w:t xml:space="preserve">Capabilities may include:</w:t>
      </w:r>
    </w:p>
    <w:p>
      <w:pPr>
        <w:pStyle w:val="Compact"/>
        <w:numPr>
          <w:ilvl w:val="0"/>
          <w:numId w:val="1009"/>
        </w:numPr>
      </w:pPr>
      <w:r>
        <w:t xml:space="preserve">exposure</w:t>
      </w:r>
    </w:p>
    <w:p>
      <w:pPr>
        <w:pStyle w:val="Compact"/>
        <w:numPr>
          <w:ilvl w:val="0"/>
          <w:numId w:val="1009"/>
        </w:numPr>
      </w:pPr>
      <w:r>
        <w:t xml:space="preserve">concentration</w:t>
      </w:r>
    </w:p>
    <w:p>
      <w:pPr>
        <w:pStyle w:val="Compact"/>
        <w:numPr>
          <w:ilvl w:val="0"/>
          <w:numId w:val="1009"/>
        </w:numPr>
      </w:pPr>
      <w:r>
        <w:t xml:space="preserve">margin information</w:t>
      </w:r>
    </w:p>
    <w:p>
      <w:pPr>
        <w:pStyle w:val="Compact"/>
        <w:numPr>
          <w:ilvl w:val="0"/>
          <w:numId w:val="1009"/>
        </w:numPr>
      </w:pPr>
      <w:r>
        <w:t xml:space="preserve">risk availability state</w:t>
      </w:r>
    </w:p>
    <w:p>
      <w:pPr>
        <w:pStyle w:val="Compact"/>
        <w:numPr>
          <w:ilvl w:val="0"/>
          <w:numId w:val="1009"/>
        </w:numPr>
      </w:pPr>
      <w:r>
        <w:t xml:space="preserve">risk data timestamp</w:t>
      </w:r>
    </w:p>
    <w:p>
      <w:pPr>
        <w:pStyle w:val="FirstParagraph"/>
      </w:pPr>
      <w:r>
        <w:t xml:space="preserve">The widget shall not silently estimate unavailable risk values.</w:t>
      </w:r>
    </w:p>
    <w:p>
      <w:r>
        <w:pict>
          <v:rect style="width:0;height:1.5pt" o:hralign="center" o:hrstd="t" o:hr="t"/>
        </w:pict>
      </w:r>
    </w:p>
    <w:bookmarkEnd w:id="17"/>
    <w:bookmarkStart w:id="18" w:name="notifications"/>
    <w:p>
      <w:pPr>
        <w:pStyle w:val="Heading2"/>
      </w:pPr>
      <w:r>
        <w:t xml:space="preserve">Notifications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Workspace</w:t>
      </w:r>
      <w:r>
        <w:t xml:space="preserve"> </w:t>
      </w:r>
      <w:r>
        <w:rPr>
          <w:b/>
          <w:bCs/>
        </w:rPr>
        <w:t xml:space="preserve">Roadmap Phase: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Context-independent</w:t>
      </w:r>
    </w:p>
    <w:p>
      <w:pPr>
        <w:pStyle w:val="BodyText"/>
      </w:pPr>
      <w:r>
        <w:t xml:space="preserve">Responsibility:</w:t>
      </w:r>
    </w:p>
    <w:p>
      <w:pPr>
        <w:pStyle w:val="BodyText"/>
      </w:pPr>
      <w:r>
        <w:t xml:space="preserve">Display operational and user-relevant notifications.</w:t>
      </w:r>
    </w:p>
    <w:p>
      <w:pPr>
        <w:pStyle w:val="BodyText"/>
      </w:pPr>
      <w:r>
        <w:t xml:space="preserve">Notification types may include:</w:t>
      </w:r>
    </w:p>
    <w:p>
      <w:pPr>
        <w:pStyle w:val="Compact"/>
        <w:numPr>
          <w:ilvl w:val="0"/>
          <w:numId w:val="1010"/>
        </w:numPr>
      </w:pPr>
      <w:r>
        <w:t xml:space="preserve">information</w:t>
      </w:r>
    </w:p>
    <w:p>
      <w:pPr>
        <w:pStyle w:val="Compact"/>
        <w:numPr>
          <w:ilvl w:val="0"/>
          <w:numId w:val="1010"/>
        </w:numPr>
      </w:pPr>
      <w:r>
        <w:t xml:space="preserve">warning</w:t>
      </w:r>
    </w:p>
    <w:p>
      <w:pPr>
        <w:pStyle w:val="Compact"/>
        <w:numPr>
          <w:ilvl w:val="0"/>
          <w:numId w:val="1010"/>
        </w:numPr>
      </w:pPr>
      <w:r>
        <w:t xml:space="preserve">error</w:t>
      </w:r>
    </w:p>
    <w:p>
      <w:pPr>
        <w:pStyle w:val="Compact"/>
        <w:numPr>
          <w:ilvl w:val="0"/>
          <w:numId w:val="1010"/>
        </w:numPr>
      </w:pPr>
      <w:r>
        <w:t xml:space="preserve">critical</w:t>
      </w:r>
    </w:p>
    <w:p>
      <w:pPr>
        <w:pStyle w:val="FirstParagraph"/>
      </w:pPr>
      <w:r>
        <w:t xml:space="preserve">Notifications shall communicate operational impact clearly.</w:t>
      </w:r>
    </w:p>
    <w:p>
      <w:r>
        <w:pict>
          <v:rect style="width:0;height:1.5pt" o:hralign="center" o:hrstd="t" o:hr="t"/>
        </w:pict>
      </w:r>
    </w:p>
    <w:bookmarkEnd w:id="18"/>
    <w:bookmarkStart w:id="19" w:name="command-palette"/>
    <w:p>
      <w:pPr>
        <w:pStyle w:val="Heading2"/>
      </w:pPr>
      <w:r>
        <w:t xml:space="preserve">Command Palette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Workspace</w:t>
      </w:r>
      <w:r>
        <w:t xml:space="preserve"> </w:t>
      </w:r>
      <w:r>
        <w:rPr>
          <w:b/>
          <w:bCs/>
        </w:rPr>
        <w:t xml:space="preserve">Roadmap Phase: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Context-independent</w:t>
      </w:r>
    </w:p>
    <w:p>
      <w:pPr>
        <w:pStyle w:val="BodyText"/>
      </w:pPr>
      <w:r>
        <w:t xml:space="preserve">Responsibility:</w:t>
      </w:r>
    </w:p>
    <w:p>
      <w:pPr>
        <w:pStyle w:val="BodyText"/>
      </w:pPr>
      <w:r>
        <w:t xml:space="preserve">Provide keyboard-driven access to application commands.</w:t>
      </w:r>
    </w:p>
    <w:p>
      <w:pPr>
        <w:pStyle w:val="BodyText"/>
      </w:pPr>
      <w:r>
        <w:t xml:space="preserve">Capabilities:</w:t>
      </w:r>
    </w:p>
    <w:p>
      <w:pPr>
        <w:pStyle w:val="Compact"/>
        <w:numPr>
          <w:ilvl w:val="0"/>
          <w:numId w:val="1011"/>
        </w:numPr>
      </w:pPr>
      <w:r>
        <w:t xml:space="preserve">command search</w:t>
      </w:r>
    </w:p>
    <w:p>
      <w:pPr>
        <w:pStyle w:val="Compact"/>
        <w:numPr>
          <w:ilvl w:val="0"/>
          <w:numId w:val="1011"/>
        </w:numPr>
      </w:pPr>
      <w:r>
        <w:t xml:space="preserve">command execution</w:t>
      </w:r>
    </w:p>
    <w:p>
      <w:pPr>
        <w:pStyle w:val="Compact"/>
        <w:numPr>
          <w:ilvl w:val="0"/>
          <w:numId w:val="1011"/>
        </w:numPr>
      </w:pPr>
      <w:r>
        <w:t xml:space="preserve">keyboard navigation</w:t>
      </w:r>
    </w:p>
    <w:p>
      <w:pPr>
        <w:pStyle w:val="Compact"/>
        <w:numPr>
          <w:ilvl w:val="0"/>
          <w:numId w:val="1011"/>
        </w:numPr>
      </w:pPr>
      <w:r>
        <w:t xml:space="preserve">context-aware command availability</w:t>
      </w:r>
    </w:p>
    <w:p>
      <w:pPr>
        <w:pStyle w:val="FirstParagraph"/>
      </w:pPr>
      <w:r>
        <w:t xml:space="preserve">Commands shall use the application command infrastructure.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phase-3-market-observation-workflow"/>
    <w:p>
      <w:pPr>
        <w:pStyle w:val="Heading1"/>
      </w:pPr>
      <w:r>
        <w:t xml:space="preserve">Phase 3 – Market Observation Workflow</w:t>
      </w:r>
    </w:p>
    <w:bookmarkStart w:id="21" w:name="price-chart"/>
    <w:p>
      <w:pPr>
        <w:pStyle w:val="Heading2"/>
      </w:pPr>
      <w:r>
        <w:t xml:space="preserve">Price Chart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Charts</w:t>
      </w:r>
      <w:r>
        <w:t xml:space="preserve"> </w:t>
      </w:r>
      <w:r>
        <w:rPr>
          <w:b/>
          <w:bCs/>
        </w:rPr>
        <w:t xml:space="preserve">Roadmap Phase: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Follow instrument context</w:t>
      </w:r>
    </w:p>
    <w:p>
      <w:pPr>
        <w:pStyle w:val="BodyText"/>
      </w:pPr>
      <w:r>
        <w:t xml:space="preserve">Responsibility:</w:t>
      </w:r>
    </w:p>
    <w:p>
      <w:pPr>
        <w:pStyle w:val="BodyText"/>
      </w:pPr>
      <w:r>
        <w:t xml:space="preserve">Display price history for the active instrument.</w:t>
      </w:r>
    </w:p>
    <w:p>
      <w:pPr>
        <w:pStyle w:val="BodyText"/>
      </w:pPr>
      <w:r>
        <w:t xml:space="preserve">Capabilities:</w:t>
      </w:r>
    </w:p>
    <w:p>
      <w:pPr>
        <w:pStyle w:val="Compact"/>
        <w:numPr>
          <w:ilvl w:val="0"/>
          <w:numId w:val="1012"/>
        </w:numPr>
      </w:pPr>
      <w:r>
        <w:t xml:space="preserve">price visualization</w:t>
      </w:r>
    </w:p>
    <w:p>
      <w:pPr>
        <w:pStyle w:val="Compact"/>
        <w:numPr>
          <w:ilvl w:val="0"/>
          <w:numId w:val="1012"/>
        </w:numPr>
      </w:pPr>
      <w:r>
        <w:t xml:space="preserve">volume visualization</w:t>
      </w:r>
    </w:p>
    <w:p>
      <w:pPr>
        <w:pStyle w:val="Compact"/>
        <w:numPr>
          <w:ilvl w:val="0"/>
          <w:numId w:val="1012"/>
        </w:numPr>
      </w:pPr>
      <w:r>
        <w:t xml:space="preserve">timeframe selection</w:t>
      </w:r>
    </w:p>
    <w:p>
      <w:pPr>
        <w:pStyle w:val="Compact"/>
        <w:numPr>
          <w:ilvl w:val="0"/>
          <w:numId w:val="1012"/>
        </w:numPr>
      </w:pPr>
      <w:r>
        <w:t xml:space="preserve">data loading state</w:t>
      </w:r>
    </w:p>
    <w:p>
      <w:pPr>
        <w:pStyle w:val="Compact"/>
        <w:numPr>
          <w:ilvl w:val="0"/>
          <w:numId w:val="1012"/>
        </w:numPr>
      </w:pPr>
      <w:r>
        <w:t xml:space="preserve">stale data indication</w:t>
      </w:r>
    </w:p>
    <w:p>
      <w:pPr>
        <w:pStyle w:val="Compact"/>
        <w:numPr>
          <w:ilvl w:val="0"/>
          <w:numId w:val="1012"/>
        </w:numPr>
      </w:pPr>
      <w:r>
        <w:t xml:space="preserve">active instrument display</w:t>
      </w:r>
    </w:p>
    <w:p>
      <w:pPr>
        <w:pStyle w:val="FirstParagraph"/>
      </w:pPr>
      <w:r>
        <w:t xml:space="preserve">Future capabilities may include:</w:t>
      </w:r>
    </w:p>
    <w:p>
      <w:pPr>
        <w:pStyle w:val="Compact"/>
        <w:numPr>
          <w:ilvl w:val="0"/>
          <w:numId w:val="1013"/>
        </w:numPr>
      </w:pPr>
      <w:r>
        <w:t xml:space="preserve">indicators</w:t>
      </w:r>
    </w:p>
    <w:p>
      <w:pPr>
        <w:pStyle w:val="Compact"/>
        <w:numPr>
          <w:ilvl w:val="0"/>
          <w:numId w:val="1013"/>
        </w:numPr>
      </w:pPr>
      <w:r>
        <w:t xml:space="preserve">drawing tools</w:t>
      </w:r>
    </w:p>
    <w:p>
      <w:pPr>
        <w:pStyle w:val="Compact"/>
        <w:numPr>
          <w:ilvl w:val="0"/>
          <w:numId w:val="1013"/>
        </w:numPr>
      </w:pPr>
      <w:r>
        <w:t xml:space="preserve">multi-timeframe views</w:t>
      </w:r>
    </w:p>
    <w:p>
      <w:r>
        <w:pict>
          <v:rect style="width:0;height:1.5pt" o:hralign="center" o:hrstd="t" o:hr="t"/>
        </w:pict>
      </w:r>
    </w:p>
    <w:bookmarkEnd w:id="21"/>
    <w:bookmarkStart w:id="22" w:name="market-status"/>
    <w:p>
      <w:pPr>
        <w:pStyle w:val="Heading2"/>
      </w:pPr>
      <w:r>
        <w:t xml:space="preserve">Market Status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Market</w:t>
      </w:r>
      <w:r>
        <w:t xml:space="preserve"> </w:t>
      </w:r>
      <w:r>
        <w:rPr>
          <w:b/>
          <w:bCs/>
        </w:rPr>
        <w:t xml:space="preserve">Roadmap Phase: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Context-independent</w:t>
      </w:r>
    </w:p>
    <w:p>
      <w:pPr>
        <w:pStyle w:val="BodyText"/>
      </w:pPr>
      <w:r>
        <w:t xml:space="preserve">Responsibility:</w:t>
      </w:r>
    </w:p>
    <w:p>
      <w:pPr>
        <w:pStyle w:val="BodyText"/>
      </w:pPr>
      <w:r>
        <w:t xml:space="preserve">Display market and market-data operational state.</w:t>
      </w:r>
    </w:p>
    <w:p>
      <w:pPr>
        <w:pStyle w:val="BodyText"/>
      </w:pPr>
      <w:r>
        <w:t xml:space="preserve">Capabilities:</w:t>
      </w:r>
    </w:p>
    <w:p>
      <w:pPr>
        <w:pStyle w:val="Compact"/>
        <w:numPr>
          <w:ilvl w:val="0"/>
          <w:numId w:val="1014"/>
        </w:numPr>
      </w:pPr>
      <w:r>
        <w:t xml:space="preserve">market session state</w:t>
      </w:r>
    </w:p>
    <w:p>
      <w:pPr>
        <w:pStyle w:val="Compact"/>
        <w:numPr>
          <w:ilvl w:val="0"/>
          <w:numId w:val="1014"/>
        </w:numPr>
      </w:pPr>
      <w:r>
        <w:t xml:space="preserve">market data connection state</w:t>
      </w:r>
    </w:p>
    <w:p>
      <w:pPr>
        <w:pStyle w:val="Compact"/>
        <w:numPr>
          <w:ilvl w:val="0"/>
          <w:numId w:val="1014"/>
        </w:numPr>
      </w:pPr>
      <w:r>
        <w:t xml:space="preserve">last update timestamp</w:t>
      </w:r>
    </w:p>
    <w:p>
      <w:pPr>
        <w:pStyle w:val="Compact"/>
        <w:numPr>
          <w:ilvl w:val="0"/>
          <w:numId w:val="1014"/>
        </w:numPr>
      </w:pPr>
      <w:r>
        <w:t xml:space="preserve">freshness state</w:t>
      </w:r>
    </w:p>
    <w:p>
      <w:r>
        <w:pict>
          <v:rect style="width:0;height:1.5pt" o:hralign="center" o:hrstd="t" o:hr="t"/>
        </w:pict>
      </w:r>
    </w:p>
    <w:bookmarkEnd w:id="22"/>
    <w:bookmarkStart w:id="23" w:name="instrument-details"/>
    <w:p>
      <w:pPr>
        <w:pStyle w:val="Heading2"/>
      </w:pPr>
      <w:r>
        <w:t xml:space="preserve">Instrument Details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Market</w:t>
      </w:r>
      <w:r>
        <w:t xml:space="preserve"> </w:t>
      </w:r>
      <w:r>
        <w:rPr>
          <w:b/>
          <w:bCs/>
        </w:rPr>
        <w:t xml:space="preserve">Roadmap Phase: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Follow instrument context</w:t>
      </w:r>
    </w:p>
    <w:p>
      <w:pPr>
        <w:pStyle w:val="BodyText"/>
      </w:pPr>
      <w:r>
        <w:t xml:space="preserve">Responsibility:</w:t>
      </w:r>
    </w:p>
    <w:p>
      <w:pPr>
        <w:pStyle w:val="BodyText"/>
      </w:pPr>
      <w:r>
        <w:t xml:space="preserve">Display core information for the active instrument.</w:t>
      </w:r>
    </w:p>
    <w:p>
      <w:pPr>
        <w:pStyle w:val="BodyText"/>
      </w:pPr>
      <w:r>
        <w:t xml:space="preserve">Capabilities may include:</w:t>
      </w:r>
    </w:p>
    <w:p>
      <w:pPr>
        <w:pStyle w:val="Compact"/>
        <w:numPr>
          <w:ilvl w:val="0"/>
          <w:numId w:val="1015"/>
        </w:numPr>
      </w:pPr>
      <w:r>
        <w:t xml:space="preserve">symbol</w:t>
      </w:r>
    </w:p>
    <w:p>
      <w:pPr>
        <w:pStyle w:val="Compact"/>
        <w:numPr>
          <w:ilvl w:val="0"/>
          <w:numId w:val="1015"/>
        </w:numPr>
      </w:pPr>
      <w:r>
        <w:t xml:space="preserve">instrument name</w:t>
      </w:r>
    </w:p>
    <w:p>
      <w:pPr>
        <w:pStyle w:val="Compact"/>
        <w:numPr>
          <w:ilvl w:val="0"/>
          <w:numId w:val="1015"/>
        </w:numPr>
      </w:pPr>
      <w:r>
        <w:t xml:space="preserve">instrument type</w:t>
      </w:r>
    </w:p>
    <w:p>
      <w:pPr>
        <w:pStyle w:val="Compact"/>
        <w:numPr>
          <w:ilvl w:val="0"/>
          <w:numId w:val="1015"/>
        </w:numPr>
      </w:pPr>
      <w:r>
        <w:t xml:space="preserve">exchange</w:t>
      </w:r>
    </w:p>
    <w:p>
      <w:pPr>
        <w:pStyle w:val="Compact"/>
        <w:numPr>
          <w:ilvl w:val="0"/>
          <w:numId w:val="1015"/>
        </w:numPr>
      </w:pPr>
      <w:r>
        <w:t xml:space="preserve">currency</w:t>
      </w:r>
    </w:p>
    <w:p>
      <w:pPr>
        <w:pStyle w:val="Compact"/>
        <w:numPr>
          <w:ilvl w:val="0"/>
          <w:numId w:val="1015"/>
        </w:numPr>
      </w:pPr>
      <w:r>
        <w:t xml:space="preserve">market state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phase-4-trading-candidate-workflow"/>
    <w:p>
      <w:pPr>
        <w:pStyle w:val="Heading1"/>
      </w:pPr>
      <w:r>
        <w:t xml:space="preserve">Phase 4 – Trading Candidate Workflow</w:t>
      </w:r>
    </w:p>
    <w:bookmarkStart w:id="25" w:name="market-scanner"/>
    <w:p>
      <w:pPr>
        <w:pStyle w:val="Heading2"/>
      </w:pPr>
      <w:r>
        <w:t xml:space="preserve">Market Scanner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Market</w:t>
      </w:r>
      <w:r>
        <w:t xml:space="preserve"> </w:t>
      </w:r>
      <w:r>
        <w:rPr>
          <w:b/>
          <w:bCs/>
        </w:rPr>
        <w:t xml:space="preserve">Roadmap Phase: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Publish instrument context</w:t>
      </w:r>
    </w:p>
    <w:p>
      <w:pPr>
        <w:pStyle w:val="BodyText"/>
      </w:pPr>
      <w:r>
        <w:t xml:space="preserve">Responsibility:</w:t>
      </w:r>
    </w:p>
    <w:p>
      <w:pPr>
        <w:pStyle w:val="BodyText"/>
      </w:pPr>
      <w:r>
        <w:t xml:space="preserve">Display reproducible scanner results and support candidate discovery.</w:t>
      </w:r>
    </w:p>
    <w:p>
      <w:pPr>
        <w:pStyle w:val="BodyText"/>
      </w:pPr>
      <w:r>
        <w:t xml:space="preserve">Capabilities:</w:t>
      </w:r>
    </w:p>
    <w:p>
      <w:pPr>
        <w:pStyle w:val="Compact"/>
        <w:numPr>
          <w:ilvl w:val="0"/>
          <w:numId w:val="1016"/>
        </w:numPr>
      </w:pPr>
      <w:r>
        <w:t xml:space="preserve">scanner selection</w:t>
      </w:r>
    </w:p>
    <w:p>
      <w:pPr>
        <w:pStyle w:val="Compact"/>
        <w:numPr>
          <w:ilvl w:val="0"/>
          <w:numId w:val="1016"/>
        </w:numPr>
      </w:pPr>
      <w:r>
        <w:t xml:space="preserve">result display</w:t>
      </w:r>
    </w:p>
    <w:p>
      <w:pPr>
        <w:pStyle w:val="Compact"/>
        <w:numPr>
          <w:ilvl w:val="0"/>
          <w:numId w:val="1016"/>
        </w:numPr>
      </w:pPr>
      <w:r>
        <w:t xml:space="preserve">filtering</w:t>
      </w:r>
    </w:p>
    <w:p>
      <w:pPr>
        <w:pStyle w:val="Compact"/>
        <w:numPr>
          <w:ilvl w:val="0"/>
          <w:numId w:val="1016"/>
        </w:numPr>
      </w:pPr>
      <w:r>
        <w:t xml:space="preserve">sorting</w:t>
      </w:r>
    </w:p>
    <w:p>
      <w:pPr>
        <w:pStyle w:val="Compact"/>
        <w:numPr>
          <w:ilvl w:val="0"/>
          <w:numId w:val="1016"/>
        </w:numPr>
      </w:pPr>
      <w:r>
        <w:t xml:space="preserve">instrument selection</w:t>
      </w:r>
    </w:p>
    <w:p>
      <w:pPr>
        <w:pStyle w:val="Compact"/>
        <w:numPr>
          <w:ilvl w:val="0"/>
          <w:numId w:val="1016"/>
        </w:numPr>
      </w:pPr>
      <w:r>
        <w:t xml:space="preserve">result timestamp</w:t>
      </w:r>
    </w:p>
    <w:p>
      <w:pPr>
        <w:pStyle w:val="Compact"/>
        <w:numPr>
          <w:ilvl w:val="0"/>
          <w:numId w:val="1016"/>
        </w:numPr>
      </w:pPr>
      <w:r>
        <w:t xml:space="preserve">scanner state</w:t>
      </w:r>
    </w:p>
    <w:p>
      <w:pPr>
        <w:pStyle w:val="FirstParagraph"/>
      </w:pPr>
      <w:r>
        <w:t xml:space="preserve">Selecting a result shall publish instrument context.</w:t>
      </w:r>
    </w:p>
    <w:p>
      <w:r>
        <w:pict>
          <v:rect style="width:0;height:1.5pt" o:hralign="center" o:hrstd="t" o:hr="t"/>
        </w:pict>
      </w:r>
    </w:p>
    <w:bookmarkEnd w:id="25"/>
    <w:bookmarkStart w:id="26" w:name="trading-candidates"/>
    <w:p>
      <w:pPr>
        <w:pStyle w:val="Heading2"/>
      </w:pPr>
      <w:r>
        <w:t xml:space="preserve">Trading Candidates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Decision Center</w:t>
      </w:r>
      <w:r>
        <w:t xml:space="preserve"> </w:t>
      </w:r>
      <w:r>
        <w:rPr>
          <w:b/>
          <w:bCs/>
        </w:rPr>
        <w:t xml:space="preserve">Roadmap Phase: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Publish and follow instrument context</w:t>
      </w:r>
    </w:p>
    <w:p>
      <w:pPr>
        <w:pStyle w:val="BodyText"/>
      </w:pPr>
      <w:r>
        <w:t xml:space="preserve">Responsibility:</w:t>
      </w:r>
    </w:p>
    <w:p>
      <w:pPr>
        <w:pStyle w:val="BodyText"/>
      </w:pPr>
      <w:r>
        <w:t xml:space="preserve">Maintain instruments currently under trading evaluation.</w:t>
      </w:r>
    </w:p>
    <w:p>
      <w:pPr>
        <w:pStyle w:val="BodyText"/>
      </w:pPr>
      <w:r>
        <w:t xml:space="preserve">Capabilities:</w:t>
      </w:r>
    </w:p>
    <w:p>
      <w:pPr>
        <w:pStyle w:val="Compact"/>
        <w:numPr>
          <w:ilvl w:val="0"/>
          <w:numId w:val="1017"/>
        </w:numPr>
      </w:pPr>
      <w:r>
        <w:t xml:space="preserve">candidate list</w:t>
      </w:r>
    </w:p>
    <w:p>
      <w:pPr>
        <w:pStyle w:val="Compact"/>
        <w:numPr>
          <w:ilvl w:val="0"/>
          <w:numId w:val="1017"/>
        </w:numPr>
      </w:pPr>
      <w:r>
        <w:t xml:space="preserve">candidate status</w:t>
      </w:r>
    </w:p>
    <w:p>
      <w:pPr>
        <w:pStyle w:val="Compact"/>
        <w:numPr>
          <w:ilvl w:val="0"/>
          <w:numId w:val="1017"/>
        </w:numPr>
      </w:pPr>
      <w:r>
        <w:t xml:space="preserve">tags</w:t>
      </w:r>
    </w:p>
    <w:p>
      <w:pPr>
        <w:pStyle w:val="Compact"/>
        <w:numPr>
          <w:ilvl w:val="0"/>
          <w:numId w:val="1017"/>
        </w:numPr>
      </w:pPr>
      <w:r>
        <w:t xml:space="preserve">notes indicator</w:t>
      </w:r>
    </w:p>
    <w:p>
      <w:pPr>
        <w:pStyle w:val="Compact"/>
        <w:numPr>
          <w:ilvl w:val="0"/>
          <w:numId w:val="1017"/>
        </w:numPr>
      </w:pPr>
      <w:r>
        <w:t xml:space="preserve">creation timestamp</w:t>
      </w:r>
    </w:p>
    <w:p>
      <w:pPr>
        <w:pStyle w:val="Compact"/>
        <w:numPr>
          <w:ilvl w:val="0"/>
          <w:numId w:val="1017"/>
        </w:numPr>
      </w:pPr>
      <w:r>
        <w:t xml:space="preserve">last update timestamp</w:t>
      </w:r>
    </w:p>
    <w:p>
      <w:pPr>
        <w:pStyle w:val="FirstParagraph"/>
      </w:pPr>
      <w:r>
        <w:t xml:space="preserve">Candidate state shall be persistent.</w:t>
      </w:r>
    </w:p>
    <w:p>
      <w:r>
        <w:pict>
          <v:rect style="width:0;height:1.5pt" o:hralign="center" o:hrstd="t" o:hr="t"/>
        </w:pict>
      </w:r>
    </w:p>
    <w:bookmarkEnd w:id="26"/>
    <w:bookmarkStart w:id="27" w:name="candidate-context"/>
    <w:p>
      <w:pPr>
        <w:pStyle w:val="Heading2"/>
      </w:pPr>
      <w:r>
        <w:t xml:space="preserve">Candidate Context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Decision Center</w:t>
      </w:r>
      <w:r>
        <w:t xml:space="preserve"> </w:t>
      </w:r>
      <w:r>
        <w:rPr>
          <w:b/>
          <w:bCs/>
        </w:rPr>
        <w:t xml:space="preserve">Roadmap Phase: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Follow instrument context</w:t>
      </w:r>
    </w:p>
    <w:p>
      <w:pPr>
        <w:pStyle w:val="BodyText"/>
      </w:pPr>
      <w:r>
        <w:t xml:space="preserve">Responsibility:</w:t>
      </w:r>
    </w:p>
    <w:p>
      <w:pPr>
        <w:pStyle w:val="BodyText"/>
      </w:pPr>
      <w:r>
        <w:t xml:space="preserve">Provide consolidated context for the active trading candidate.</w:t>
      </w:r>
    </w:p>
    <w:p>
      <w:pPr>
        <w:pStyle w:val="BodyText"/>
      </w:pPr>
      <w:r>
        <w:t xml:space="preserve">Capabilities may include:</w:t>
      </w:r>
    </w:p>
    <w:p>
      <w:pPr>
        <w:pStyle w:val="Compact"/>
        <w:numPr>
          <w:ilvl w:val="0"/>
          <w:numId w:val="1018"/>
        </w:numPr>
      </w:pPr>
      <w:r>
        <w:t xml:space="preserve">instrument information</w:t>
      </w:r>
    </w:p>
    <w:p>
      <w:pPr>
        <w:pStyle w:val="Compact"/>
        <w:numPr>
          <w:ilvl w:val="0"/>
          <w:numId w:val="1018"/>
        </w:numPr>
      </w:pPr>
      <w:r>
        <w:t xml:space="preserve">market context</w:t>
      </w:r>
    </w:p>
    <w:p>
      <w:pPr>
        <w:pStyle w:val="Compact"/>
        <w:numPr>
          <w:ilvl w:val="0"/>
          <w:numId w:val="1018"/>
        </w:numPr>
      </w:pPr>
      <w:r>
        <w:t xml:space="preserve">scanner origin</w:t>
      </w:r>
    </w:p>
    <w:p>
      <w:pPr>
        <w:pStyle w:val="Compact"/>
        <w:numPr>
          <w:ilvl w:val="0"/>
          <w:numId w:val="1018"/>
        </w:numPr>
      </w:pPr>
      <w:r>
        <w:t xml:space="preserve">watchlist membership</w:t>
      </w:r>
    </w:p>
    <w:p>
      <w:pPr>
        <w:pStyle w:val="Compact"/>
        <w:numPr>
          <w:ilvl w:val="0"/>
          <w:numId w:val="1018"/>
        </w:numPr>
      </w:pPr>
      <w:r>
        <w:t xml:space="preserve">candidate state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phase-5-portfolio-and-risk-context"/>
    <w:p>
      <w:pPr>
        <w:pStyle w:val="Heading1"/>
      </w:pPr>
      <w:r>
        <w:t xml:space="preserve">Phase 5 – Portfolio and Risk Context</w:t>
      </w:r>
    </w:p>
    <w:bookmarkStart w:id="29" w:name="positions"/>
    <w:p>
      <w:pPr>
        <w:pStyle w:val="Heading2"/>
      </w:pPr>
      <w:r>
        <w:t xml:space="preserve">Positions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Portfolio</w:t>
      </w:r>
      <w:r>
        <w:t xml:space="preserve"> </w:t>
      </w:r>
      <w:r>
        <w:rPr>
          <w:b/>
          <w:bCs/>
        </w:rPr>
        <w:t xml:space="preserve">Roadmap Phase: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Publish instrument context</w:t>
      </w:r>
    </w:p>
    <w:p>
      <w:pPr>
        <w:pStyle w:val="BodyText"/>
      </w:pPr>
      <w:r>
        <w:t xml:space="preserve">Responsibility:</w:t>
      </w:r>
    </w:p>
    <w:p>
      <w:pPr>
        <w:pStyle w:val="BodyText"/>
      </w:pPr>
      <w:r>
        <w:t xml:space="preserve">Display current portfolio positions.</w:t>
      </w:r>
    </w:p>
    <w:p>
      <w:pPr>
        <w:pStyle w:val="BodyText"/>
      </w:pPr>
      <w:r>
        <w:t xml:space="preserve">Capabilities:</w:t>
      </w:r>
    </w:p>
    <w:p>
      <w:pPr>
        <w:pStyle w:val="Compact"/>
        <w:numPr>
          <w:ilvl w:val="0"/>
          <w:numId w:val="1019"/>
        </w:numPr>
      </w:pPr>
      <w:r>
        <w:t xml:space="preserve">instrument</w:t>
      </w:r>
    </w:p>
    <w:p>
      <w:pPr>
        <w:pStyle w:val="Compact"/>
        <w:numPr>
          <w:ilvl w:val="0"/>
          <w:numId w:val="1019"/>
        </w:numPr>
      </w:pPr>
      <w:r>
        <w:t xml:space="preserve">quantity</w:t>
      </w:r>
    </w:p>
    <w:p>
      <w:pPr>
        <w:pStyle w:val="Compact"/>
        <w:numPr>
          <w:ilvl w:val="0"/>
          <w:numId w:val="1019"/>
        </w:numPr>
      </w:pPr>
      <w:r>
        <w:t xml:space="preserve">average price where available</w:t>
      </w:r>
    </w:p>
    <w:p>
      <w:pPr>
        <w:pStyle w:val="Compact"/>
        <w:numPr>
          <w:ilvl w:val="0"/>
          <w:numId w:val="1019"/>
        </w:numPr>
      </w:pPr>
      <w:r>
        <w:t xml:space="preserve">current value where available</w:t>
      </w:r>
    </w:p>
    <w:p>
      <w:pPr>
        <w:pStyle w:val="Compact"/>
        <w:numPr>
          <w:ilvl w:val="0"/>
          <w:numId w:val="1019"/>
        </w:numPr>
      </w:pPr>
      <w:r>
        <w:t xml:space="preserve">unrealized P&amp;L where available</w:t>
      </w:r>
    </w:p>
    <w:p>
      <w:pPr>
        <w:pStyle w:val="Compact"/>
        <w:numPr>
          <w:ilvl w:val="0"/>
          <w:numId w:val="1019"/>
        </w:numPr>
      </w:pPr>
      <w:r>
        <w:t xml:space="preserve">data timestamp</w:t>
      </w:r>
    </w:p>
    <w:p>
      <w:pPr>
        <w:pStyle w:val="Compact"/>
        <w:numPr>
          <w:ilvl w:val="0"/>
          <w:numId w:val="1019"/>
        </w:numPr>
      </w:pPr>
      <w:r>
        <w:t xml:space="preserve">source state</w:t>
      </w:r>
    </w:p>
    <w:p>
      <w:pPr>
        <w:pStyle w:val="FirstParagraph"/>
      </w:pPr>
      <w:r>
        <w:t xml:space="preserve">Selecting a position shall publish instrument context.</w:t>
      </w:r>
    </w:p>
    <w:p>
      <w:r>
        <w:pict>
          <v:rect style="width:0;height:1.5pt" o:hralign="center" o:hrstd="t" o:hr="t"/>
        </w:pict>
      </w:r>
    </w:p>
    <w:bookmarkEnd w:id="29"/>
    <w:bookmarkStart w:id="30" w:name="position-details"/>
    <w:p>
      <w:pPr>
        <w:pStyle w:val="Heading2"/>
      </w:pPr>
      <w:r>
        <w:t xml:space="preserve">Position Details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Portfolio</w:t>
      </w:r>
      <w:r>
        <w:t xml:space="preserve"> </w:t>
      </w:r>
      <w:r>
        <w:rPr>
          <w:b/>
          <w:bCs/>
        </w:rPr>
        <w:t xml:space="preserve">Roadmap Phase: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Follow instrument context</w:t>
      </w:r>
    </w:p>
    <w:p>
      <w:pPr>
        <w:pStyle w:val="BodyText"/>
      </w:pPr>
      <w:r>
        <w:t xml:space="preserve">Responsibility:</w:t>
      </w:r>
    </w:p>
    <w:p>
      <w:pPr>
        <w:pStyle w:val="BodyText"/>
      </w:pPr>
      <w:r>
        <w:t xml:space="preserve">Display detailed information for the selected portfolio position.</w:t>
      </w:r>
    </w:p>
    <w:p>
      <w:pPr>
        <w:pStyle w:val="BodyText"/>
      </w:pPr>
      <w:r>
        <w:t xml:space="preserve">The widget shall distinguish between local and broker-derived state where relevant.</w:t>
      </w:r>
    </w:p>
    <w:p>
      <w:r>
        <w:pict>
          <v:rect style="width:0;height:1.5pt" o:hralign="center" o:hrstd="t" o:hr="t"/>
        </w:pict>
      </w:r>
    </w:p>
    <w:bookmarkEnd w:id="30"/>
    <w:bookmarkStart w:id="31" w:name="exposure"/>
    <w:p>
      <w:pPr>
        <w:pStyle w:val="Heading2"/>
      </w:pPr>
      <w:r>
        <w:t xml:space="preserve">Exposure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Risk</w:t>
      </w:r>
      <w:r>
        <w:t xml:space="preserve"> </w:t>
      </w:r>
      <w:r>
        <w:rPr>
          <w:b/>
          <w:bCs/>
        </w:rPr>
        <w:t xml:space="preserve">Roadmap Phase: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Context-independent</w:t>
      </w:r>
    </w:p>
    <w:p>
      <w:pPr>
        <w:pStyle w:val="BodyText"/>
      </w:pPr>
      <w:r>
        <w:t xml:space="preserve">Responsibility:</w:t>
      </w:r>
    </w:p>
    <w:p>
      <w:pPr>
        <w:pStyle w:val="BodyText"/>
      </w:pPr>
      <w:r>
        <w:t xml:space="preserve">Display available portfolio exposure information.</w:t>
      </w:r>
    </w:p>
    <w:p>
      <w:pPr>
        <w:pStyle w:val="BodyText"/>
      </w:pPr>
      <w:r>
        <w:t xml:space="preserve">Capabilities may include:</w:t>
      </w:r>
    </w:p>
    <w:p>
      <w:pPr>
        <w:pStyle w:val="Compact"/>
        <w:numPr>
          <w:ilvl w:val="0"/>
          <w:numId w:val="1020"/>
        </w:numPr>
      </w:pPr>
      <w:r>
        <w:t xml:space="preserve">gross exposure</w:t>
      </w:r>
    </w:p>
    <w:p>
      <w:pPr>
        <w:pStyle w:val="Compact"/>
        <w:numPr>
          <w:ilvl w:val="0"/>
          <w:numId w:val="1020"/>
        </w:numPr>
      </w:pPr>
      <w:r>
        <w:t xml:space="preserve">net exposure</w:t>
      </w:r>
    </w:p>
    <w:p>
      <w:pPr>
        <w:pStyle w:val="Compact"/>
        <w:numPr>
          <w:ilvl w:val="0"/>
          <w:numId w:val="1020"/>
        </w:numPr>
      </w:pPr>
      <w:r>
        <w:t xml:space="preserve">instrument exposure</w:t>
      </w:r>
    </w:p>
    <w:p>
      <w:pPr>
        <w:pStyle w:val="Compact"/>
        <w:numPr>
          <w:ilvl w:val="0"/>
          <w:numId w:val="1020"/>
        </w:numPr>
      </w:pPr>
      <w:r>
        <w:t xml:space="preserve">sector exposure</w:t>
      </w:r>
    </w:p>
    <w:p>
      <w:pPr>
        <w:pStyle w:val="Compact"/>
        <w:numPr>
          <w:ilvl w:val="0"/>
          <w:numId w:val="1020"/>
        </w:numPr>
      </w:pPr>
      <w:r>
        <w:t xml:space="preserve">concentration</w:t>
      </w:r>
    </w:p>
    <w:p>
      <w:pPr>
        <w:pStyle w:val="FirstParagraph"/>
      </w:pPr>
      <w:r>
        <w:t xml:space="preserve">Unavailable values shall remain explicitly unavailable.</w:t>
      </w:r>
    </w:p>
    <w:p>
      <w:r>
        <w:pict>
          <v:rect style="width:0;height:1.5pt" o:hralign="center" o:hrstd="t" o:hr="t"/>
        </w:pict>
      </w:r>
    </w:p>
    <w:bookmarkEnd w:id="31"/>
    <w:bookmarkStart w:id="32" w:name="margin"/>
    <w:p>
      <w:pPr>
        <w:pStyle w:val="Heading2"/>
      </w:pPr>
      <w:r>
        <w:t xml:space="preserve">Margin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Risk</w:t>
      </w:r>
      <w:r>
        <w:t xml:space="preserve"> </w:t>
      </w:r>
      <w:r>
        <w:rPr>
          <w:b/>
          <w:bCs/>
        </w:rPr>
        <w:t xml:space="preserve">Roadmap Phase: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Context-independent</w:t>
      </w:r>
    </w:p>
    <w:p>
      <w:pPr>
        <w:pStyle w:val="BodyText"/>
      </w:pPr>
      <w:r>
        <w:t xml:space="preserve">Responsibility:</w:t>
      </w:r>
    </w:p>
    <w:p>
      <w:pPr>
        <w:pStyle w:val="BodyText"/>
      </w:pPr>
      <w:r>
        <w:t xml:space="preserve">Display broker-provided margin information where available.</w:t>
      </w:r>
    </w:p>
    <w:p>
      <w:pPr>
        <w:pStyle w:val="BodyText"/>
      </w:pPr>
      <w:r>
        <w:t xml:space="preserve">The widget shall identify the data source and timestamp.</w:t>
      </w:r>
    </w:p>
    <w:p>
      <w:r>
        <w:pict>
          <v:rect style="width:0;height:1.5pt" o:hralign="center" o:hrstd="t" o:hr="t"/>
        </w:pict>
      </w:r>
    </w:p>
    <w:bookmarkEnd w:id="32"/>
    <w:bookmarkStart w:id="33" w:name="reconciliation-status"/>
    <w:p>
      <w:pPr>
        <w:pStyle w:val="Heading2"/>
      </w:pPr>
      <w:r>
        <w:t xml:space="preserve">Reconciliation Status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Portfolio</w:t>
      </w:r>
      <w:r>
        <w:t xml:space="preserve"> </w:t>
      </w:r>
      <w:r>
        <w:rPr>
          <w:b/>
          <w:bCs/>
        </w:rPr>
        <w:t xml:space="preserve">Roadmap Phase: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Context-independent</w:t>
      </w:r>
    </w:p>
    <w:p>
      <w:pPr>
        <w:pStyle w:val="BodyText"/>
      </w:pPr>
      <w:r>
        <w:t xml:space="preserve">Responsibility:</w:t>
      </w:r>
    </w:p>
    <w:p>
      <w:pPr>
        <w:pStyle w:val="BodyText"/>
      </w:pPr>
      <w:r>
        <w:t xml:space="preserve">Display discrepancies between local and external broker state.</w:t>
      </w:r>
    </w:p>
    <w:p>
      <w:pPr>
        <w:pStyle w:val="BodyText"/>
      </w:pPr>
      <w:r>
        <w:t xml:space="preserve">Capabilities:</w:t>
      </w:r>
    </w:p>
    <w:p>
      <w:pPr>
        <w:pStyle w:val="Compact"/>
        <w:numPr>
          <w:ilvl w:val="0"/>
          <w:numId w:val="1021"/>
        </w:numPr>
      </w:pPr>
      <w:r>
        <w:t xml:space="preserve">reconciliation state</w:t>
      </w:r>
    </w:p>
    <w:p>
      <w:pPr>
        <w:pStyle w:val="Compact"/>
        <w:numPr>
          <w:ilvl w:val="0"/>
          <w:numId w:val="1021"/>
        </w:numPr>
      </w:pPr>
      <w:r>
        <w:t xml:space="preserve">discrepancy count</w:t>
      </w:r>
    </w:p>
    <w:p>
      <w:pPr>
        <w:pStyle w:val="Compact"/>
        <w:numPr>
          <w:ilvl w:val="0"/>
          <w:numId w:val="1021"/>
        </w:numPr>
      </w:pPr>
      <w:r>
        <w:t xml:space="preserve">affected capability</w:t>
      </w:r>
    </w:p>
    <w:p>
      <w:pPr>
        <w:pStyle w:val="Compact"/>
        <w:numPr>
          <w:ilvl w:val="0"/>
          <w:numId w:val="1021"/>
        </w:numPr>
      </w:pPr>
      <w:r>
        <w:t xml:space="preserve">last reconciliation timestamp</w:t>
      </w:r>
    </w:p>
    <w:p>
      <w:pPr>
        <w:pStyle w:val="FirstParagraph"/>
      </w:pPr>
      <w:r>
        <w:t xml:space="preserve">Discrepancies shall remain visible until resolved or explicitly acknowledged.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phase-6-order-and-position-workflow"/>
    <w:p>
      <w:pPr>
        <w:pStyle w:val="Heading1"/>
      </w:pPr>
      <w:r>
        <w:t xml:space="preserve">Phase 6 – Order and Position Workflow</w:t>
      </w:r>
    </w:p>
    <w:bookmarkStart w:id="35" w:name="order-entry"/>
    <w:p>
      <w:pPr>
        <w:pStyle w:val="Heading2"/>
      </w:pPr>
      <w:r>
        <w:t xml:space="preserve">Order Entry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Trading</w:t>
      </w:r>
      <w:r>
        <w:t xml:space="preserve"> </w:t>
      </w:r>
      <w:r>
        <w:rPr>
          <w:b/>
          <w:bCs/>
        </w:rPr>
        <w:t xml:space="preserve">Roadmap Phase: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Follow instrument context</w:t>
      </w:r>
    </w:p>
    <w:p>
      <w:pPr>
        <w:pStyle w:val="BodyText"/>
      </w:pPr>
      <w:r>
        <w:t xml:space="preserve">Responsibility:</w:t>
      </w:r>
    </w:p>
    <w:p>
      <w:pPr>
        <w:pStyle w:val="BodyText"/>
      </w:pPr>
      <w:r>
        <w:t xml:space="preserve">Prepare and validate an order for the active instrument.</w:t>
      </w:r>
    </w:p>
    <w:p>
      <w:pPr>
        <w:pStyle w:val="BodyText"/>
      </w:pPr>
      <w:r>
        <w:t xml:space="preserve">Capabilities:</w:t>
      </w:r>
    </w:p>
    <w:p>
      <w:pPr>
        <w:pStyle w:val="Compact"/>
        <w:numPr>
          <w:ilvl w:val="0"/>
          <w:numId w:val="1022"/>
        </w:numPr>
      </w:pPr>
      <w:r>
        <w:t xml:space="preserve">instrument</w:t>
      </w:r>
    </w:p>
    <w:p>
      <w:pPr>
        <w:pStyle w:val="Compact"/>
        <w:numPr>
          <w:ilvl w:val="0"/>
          <w:numId w:val="1022"/>
        </w:numPr>
      </w:pPr>
      <w:r>
        <w:t xml:space="preserve">action</w:t>
      </w:r>
    </w:p>
    <w:p>
      <w:pPr>
        <w:pStyle w:val="Compact"/>
        <w:numPr>
          <w:ilvl w:val="0"/>
          <w:numId w:val="1022"/>
        </w:numPr>
      </w:pPr>
      <w:r>
        <w:t xml:space="preserve">quantity</w:t>
      </w:r>
    </w:p>
    <w:p>
      <w:pPr>
        <w:pStyle w:val="Compact"/>
        <w:numPr>
          <w:ilvl w:val="0"/>
          <w:numId w:val="1022"/>
        </w:numPr>
      </w:pPr>
      <w:r>
        <w:t xml:space="preserve">order type</w:t>
      </w:r>
    </w:p>
    <w:p>
      <w:pPr>
        <w:pStyle w:val="Compact"/>
        <w:numPr>
          <w:ilvl w:val="0"/>
          <w:numId w:val="1022"/>
        </w:numPr>
      </w:pPr>
      <w:r>
        <w:t xml:space="preserve">price parameters</w:t>
      </w:r>
    </w:p>
    <w:p>
      <w:pPr>
        <w:pStyle w:val="Compact"/>
        <w:numPr>
          <w:ilvl w:val="0"/>
          <w:numId w:val="1022"/>
        </w:numPr>
      </w:pPr>
      <w:r>
        <w:t xml:space="preserve">validation state</w:t>
      </w:r>
    </w:p>
    <w:p>
      <w:pPr>
        <w:pStyle w:val="Compact"/>
        <w:numPr>
          <w:ilvl w:val="0"/>
          <w:numId w:val="1022"/>
        </w:numPr>
      </w:pPr>
      <w:r>
        <w:t xml:space="preserve">submission readiness</w:t>
      </w:r>
    </w:p>
    <w:p>
      <w:pPr>
        <w:pStyle w:val="FirstParagraph"/>
      </w:pPr>
      <w:r>
        <w:t xml:space="preserve">Order Entry shall not submit invalid orders.</w:t>
      </w:r>
    </w:p>
    <w:p>
      <w:pPr>
        <w:pStyle w:val="BodyText"/>
      </w:pPr>
      <w:r>
        <w:t xml:space="preserve">Order submission requires an explicit user action.</w:t>
      </w:r>
    </w:p>
    <w:p>
      <w:r>
        <w:pict>
          <v:rect style="width:0;height:1.5pt" o:hralign="center" o:hrstd="t" o:hr="t"/>
        </w:pict>
      </w:r>
    </w:p>
    <w:bookmarkEnd w:id="35"/>
    <w:bookmarkStart w:id="36" w:name="order-review"/>
    <w:p>
      <w:pPr>
        <w:pStyle w:val="Heading2"/>
      </w:pPr>
      <w:r>
        <w:t xml:space="preserve">Order Review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Trading</w:t>
      </w:r>
      <w:r>
        <w:t xml:space="preserve"> </w:t>
      </w:r>
      <w:r>
        <w:rPr>
          <w:b/>
          <w:bCs/>
        </w:rPr>
        <w:t xml:space="preserve">Roadmap Phase: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Follow instrument context</w:t>
      </w:r>
    </w:p>
    <w:p>
      <w:pPr>
        <w:pStyle w:val="BodyText"/>
      </w:pPr>
      <w:r>
        <w:t xml:space="preserve">Responsibility:</w:t>
      </w:r>
    </w:p>
    <w:p>
      <w:pPr>
        <w:pStyle w:val="BodyText"/>
      </w:pPr>
      <w:r>
        <w:t xml:space="preserve">Present final order parameters before submission where required by the workflow.</w:t>
      </w:r>
    </w:p>
    <w:p>
      <w:pPr>
        <w:pStyle w:val="BodyText"/>
      </w:pPr>
      <w:r>
        <w:t xml:space="preserve">Capabilities:</w:t>
      </w:r>
    </w:p>
    <w:p>
      <w:pPr>
        <w:pStyle w:val="Compact"/>
        <w:numPr>
          <w:ilvl w:val="0"/>
          <w:numId w:val="1023"/>
        </w:numPr>
      </w:pPr>
      <w:r>
        <w:t xml:space="preserve">order summary</w:t>
      </w:r>
    </w:p>
    <w:p>
      <w:pPr>
        <w:pStyle w:val="Compact"/>
        <w:numPr>
          <w:ilvl w:val="0"/>
          <w:numId w:val="1023"/>
        </w:numPr>
      </w:pPr>
      <w:r>
        <w:t xml:space="preserve">validation result</w:t>
      </w:r>
    </w:p>
    <w:p>
      <w:pPr>
        <w:pStyle w:val="Compact"/>
        <w:numPr>
          <w:ilvl w:val="0"/>
          <w:numId w:val="1023"/>
        </w:numPr>
      </w:pPr>
      <w:r>
        <w:t xml:space="preserve">warnings</w:t>
      </w:r>
    </w:p>
    <w:p>
      <w:pPr>
        <w:pStyle w:val="Compact"/>
        <w:numPr>
          <w:ilvl w:val="0"/>
          <w:numId w:val="1023"/>
        </w:numPr>
      </w:pPr>
      <w:r>
        <w:t xml:space="preserve">broker context</w:t>
      </w:r>
    </w:p>
    <w:p>
      <w:pPr>
        <w:pStyle w:val="Compact"/>
        <w:numPr>
          <w:ilvl w:val="0"/>
          <w:numId w:val="1023"/>
        </w:numPr>
      </w:pPr>
      <w:r>
        <w:t xml:space="preserve">submission confirmation</w:t>
      </w:r>
    </w:p>
    <w:p>
      <w:r>
        <w:pict>
          <v:rect style="width:0;height:1.5pt" o:hralign="center" o:hrstd="t" o:hr="t"/>
        </w:pict>
      </w:r>
    </w:p>
    <w:bookmarkEnd w:id="36"/>
    <w:bookmarkStart w:id="37" w:name="open-orders"/>
    <w:p>
      <w:pPr>
        <w:pStyle w:val="Heading2"/>
      </w:pPr>
      <w:r>
        <w:t xml:space="preserve">Open Orders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Trading</w:t>
      </w:r>
      <w:r>
        <w:t xml:space="preserve"> </w:t>
      </w:r>
      <w:r>
        <w:rPr>
          <w:b/>
          <w:bCs/>
        </w:rPr>
        <w:t xml:space="preserve">Roadmap Phase: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Publish instrument context</w:t>
      </w:r>
    </w:p>
    <w:p>
      <w:pPr>
        <w:pStyle w:val="BodyText"/>
      </w:pPr>
      <w:r>
        <w:t xml:space="preserve">Responsibility:</w:t>
      </w:r>
    </w:p>
    <w:p>
      <w:pPr>
        <w:pStyle w:val="BodyText"/>
      </w:pPr>
      <w:r>
        <w:t xml:space="preserve">Display active orders and their lifecycle state.</w:t>
      </w:r>
    </w:p>
    <w:p>
      <w:pPr>
        <w:pStyle w:val="BodyText"/>
      </w:pPr>
      <w:r>
        <w:t xml:space="preserve">Capabilities:</w:t>
      </w:r>
    </w:p>
    <w:p>
      <w:pPr>
        <w:pStyle w:val="Compact"/>
        <w:numPr>
          <w:ilvl w:val="0"/>
          <w:numId w:val="1024"/>
        </w:numPr>
      </w:pPr>
      <w:r>
        <w:t xml:space="preserve">instrument</w:t>
      </w:r>
    </w:p>
    <w:p>
      <w:pPr>
        <w:pStyle w:val="Compact"/>
        <w:numPr>
          <w:ilvl w:val="0"/>
          <w:numId w:val="1024"/>
        </w:numPr>
      </w:pPr>
      <w:r>
        <w:t xml:space="preserve">order action</w:t>
      </w:r>
    </w:p>
    <w:p>
      <w:pPr>
        <w:pStyle w:val="Compact"/>
        <w:numPr>
          <w:ilvl w:val="0"/>
          <w:numId w:val="1024"/>
        </w:numPr>
      </w:pPr>
      <w:r>
        <w:t xml:space="preserve">quantity</w:t>
      </w:r>
    </w:p>
    <w:p>
      <w:pPr>
        <w:pStyle w:val="Compact"/>
        <w:numPr>
          <w:ilvl w:val="0"/>
          <w:numId w:val="1024"/>
        </w:numPr>
      </w:pPr>
      <w:r>
        <w:t xml:space="preserve">order type</w:t>
      </w:r>
    </w:p>
    <w:p>
      <w:pPr>
        <w:pStyle w:val="Compact"/>
        <w:numPr>
          <w:ilvl w:val="0"/>
          <w:numId w:val="1024"/>
        </w:numPr>
      </w:pPr>
      <w:r>
        <w:t xml:space="preserve">order state</w:t>
      </w:r>
    </w:p>
    <w:p>
      <w:pPr>
        <w:pStyle w:val="Compact"/>
        <w:numPr>
          <w:ilvl w:val="0"/>
          <w:numId w:val="1024"/>
        </w:numPr>
      </w:pPr>
      <w:r>
        <w:t xml:space="preserve">broker acknowledgement state</w:t>
      </w:r>
    </w:p>
    <w:p>
      <w:pPr>
        <w:pStyle w:val="Compact"/>
        <w:numPr>
          <w:ilvl w:val="0"/>
          <w:numId w:val="1024"/>
        </w:numPr>
      </w:pPr>
      <w:r>
        <w:t xml:space="preserve">last update timestamp</w:t>
      </w:r>
    </w:p>
    <w:p>
      <w:pPr>
        <w:pStyle w:val="FirstParagraph"/>
      </w:pPr>
      <w:r>
        <w:t xml:space="preserve">Selecting an order may publish instrument context.</w:t>
      </w:r>
    </w:p>
    <w:p>
      <w:r>
        <w:pict>
          <v:rect style="width:0;height:1.5pt" o:hralign="center" o:hrstd="t" o:hr="t"/>
        </w:pict>
      </w:r>
    </w:p>
    <w:bookmarkEnd w:id="37"/>
    <w:bookmarkStart w:id="38" w:name="order-history"/>
    <w:p>
      <w:pPr>
        <w:pStyle w:val="Heading2"/>
      </w:pPr>
      <w:r>
        <w:t xml:space="preserve">Order History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Trading</w:t>
      </w:r>
      <w:r>
        <w:t xml:space="preserve"> </w:t>
      </w:r>
      <w:r>
        <w:rPr>
          <w:b/>
          <w:bCs/>
        </w:rPr>
        <w:t xml:space="preserve">Roadmap Phase: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Publish instrument context</w:t>
      </w:r>
    </w:p>
    <w:p>
      <w:pPr>
        <w:pStyle w:val="BodyText"/>
      </w:pPr>
      <w:r>
        <w:t xml:space="preserve">Responsibility:</w:t>
      </w:r>
    </w:p>
    <w:p>
      <w:pPr>
        <w:pStyle w:val="BodyText"/>
      </w:pPr>
      <w:r>
        <w:t xml:space="preserve">Display historical order lifecycle information.</w:t>
      </w:r>
    </w:p>
    <w:p>
      <w:pPr>
        <w:pStyle w:val="BodyText"/>
      </w:pPr>
      <w:r>
        <w:t xml:space="preserve">Order history shall remain traceable.</w:t>
      </w:r>
    </w:p>
    <w:p>
      <w:r>
        <w:pict>
          <v:rect style="width:0;height:1.5pt" o:hralign="center" o:hrstd="t" o:hr="t"/>
        </w:pict>
      </w:r>
    </w:p>
    <w:bookmarkEnd w:id="38"/>
    <w:bookmarkStart w:id="39" w:name="execution-monitor"/>
    <w:p>
      <w:pPr>
        <w:pStyle w:val="Heading2"/>
      </w:pPr>
      <w:r>
        <w:t xml:space="preserve">Execution Monitor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Trading</w:t>
      </w:r>
      <w:r>
        <w:t xml:space="preserve"> </w:t>
      </w:r>
      <w:r>
        <w:rPr>
          <w:b/>
          <w:bCs/>
        </w:rPr>
        <w:t xml:space="preserve">Roadmap Phase: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Publish instrument context</w:t>
      </w:r>
    </w:p>
    <w:p>
      <w:pPr>
        <w:pStyle w:val="BodyText"/>
      </w:pPr>
      <w:r>
        <w:t xml:space="preserve">Responsibility:</w:t>
      </w:r>
    </w:p>
    <w:p>
      <w:pPr>
        <w:pStyle w:val="BodyText"/>
      </w:pPr>
      <w:r>
        <w:t xml:space="preserve">Display execution information and broker execution feedback.</w:t>
      </w:r>
    </w:p>
    <w:p>
      <w:pPr>
        <w:pStyle w:val="BodyText"/>
      </w:pPr>
      <w:r>
        <w:t xml:space="preserve">Capabilities may include:</w:t>
      </w:r>
    </w:p>
    <w:p>
      <w:pPr>
        <w:pStyle w:val="Compact"/>
        <w:numPr>
          <w:ilvl w:val="0"/>
          <w:numId w:val="1025"/>
        </w:numPr>
      </w:pPr>
      <w:r>
        <w:t xml:space="preserve">execution state</w:t>
      </w:r>
    </w:p>
    <w:p>
      <w:pPr>
        <w:pStyle w:val="Compact"/>
        <w:numPr>
          <w:ilvl w:val="0"/>
          <w:numId w:val="1025"/>
        </w:numPr>
      </w:pPr>
      <w:r>
        <w:t xml:space="preserve">filled quantity</w:t>
      </w:r>
    </w:p>
    <w:p>
      <w:pPr>
        <w:pStyle w:val="Compact"/>
        <w:numPr>
          <w:ilvl w:val="0"/>
          <w:numId w:val="1025"/>
        </w:numPr>
      </w:pPr>
      <w:r>
        <w:t xml:space="preserve">remaining quantity</w:t>
      </w:r>
    </w:p>
    <w:p>
      <w:pPr>
        <w:pStyle w:val="Compact"/>
        <w:numPr>
          <w:ilvl w:val="0"/>
          <w:numId w:val="1025"/>
        </w:numPr>
      </w:pPr>
      <w:r>
        <w:t xml:space="preserve">execution price</w:t>
      </w:r>
    </w:p>
    <w:p>
      <w:pPr>
        <w:pStyle w:val="Compact"/>
        <w:numPr>
          <w:ilvl w:val="0"/>
          <w:numId w:val="1025"/>
        </w:numPr>
      </w:pPr>
      <w:r>
        <w:t xml:space="preserve">broker timestamp</w:t>
      </w:r>
    </w:p>
    <w:p>
      <w:pPr>
        <w:pStyle w:val="Compact"/>
        <w:numPr>
          <w:ilvl w:val="0"/>
          <w:numId w:val="1025"/>
        </w:numPr>
      </w:pPr>
      <w:r>
        <w:t xml:space="preserve">rejection information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phase-7-integrated-decision-center"/>
    <w:p>
      <w:pPr>
        <w:pStyle w:val="Heading1"/>
      </w:pPr>
      <w:r>
        <w:t xml:space="preserve">Phase 7 – Integrated Decision Center</w:t>
      </w:r>
    </w:p>
    <w:bookmarkStart w:id="41" w:name="decision-center"/>
    <w:p>
      <w:pPr>
        <w:pStyle w:val="Heading2"/>
      </w:pPr>
      <w:r>
        <w:t xml:space="preserve">Decision Center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Decision Center</w:t>
      </w:r>
      <w:r>
        <w:t xml:space="preserve"> </w:t>
      </w:r>
      <w:r>
        <w:rPr>
          <w:b/>
          <w:bCs/>
        </w:rPr>
        <w:t xml:space="preserve">Roadmap Phase: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Publish and follow instrument context</w:t>
      </w:r>
    </w:p>
    <w:p>
      <w:pPr>
        <w:pStyle w:val="BodyText"/>
      </w:pPr>
      <w:r>
        <w:t xml:space="preserve">Responsibility:</w:t>
      </w:r>
    </w:p>
    <w:p>
      <w:pPr>
        <w:pStyle w:val="BodyText"/>
      </w:pPr>
      <w:r>
        <w:t xml:space="preserve">Support the complete trading decision lifecycle.</w:t>
      </w:r>
    </w:p>
    <w:p>
      <w:pPr>
        <w:pStyle w:val="BodyText"/>
      </w:pPr>
      <w:r>
        <w:t xml:space="preserve">Capabilities:</w:t>
      </w:r>
    </w:p>
    <w:p>
      <w:pPr>
        <w:pStyle w:val="Compact"/>
        <w:numPr>
          <w:ilvl w:val="0"/>
          <w:numId w:val="1026"/>
        </w:numPr>
      </w:pPr>
      <w:r>
        <w:t xml:space="preserve">active instrument</w:t>
      </w:r>
    </w:p>
    <w:p>
      <w:pPr>
        <w:pStyle w:val="Compact"/>
        <w:numPr>
          <w:ilvl w:val="0"/>
          <w:numId w:val="1026"/>
        </w:numPr>
      </w:pPr>
      <w:r>
        <w:t xml:space="preserve">candidate status</w:t>
      </w:r>
    </w:p>
    <w:p>
      <w:pPr>
        <w:pStyle w:val="Compact"/>
        <w:numPr>
          <w:ilvl w:val="0"/>
          <w:numId w:val="1026"/>
        </w:numPr>
      </w:pPr>
      <w:r>
        <w:t xml:space="preserve">market context</w:t>
      </w:r>
    </w:p>
    <w:p>
      <w:pPr>
        <w:pStyle w:val="Compact"/>
        <w:numPr>
          <w:ilvl w:val="0"/>
          <w:numId w:val="1026"/>
        </w:numPr>
      </w:pPr>
      <w:r>
        <w:t xml:space="preserve">portfolio context</w:t>
      </w:r>
    </w:p>
    <w:p>
      <w:pPr>
        <w:pStyle w:val="Compact"/>
        <w:numPr>
          <w:ilvl w:val="0"/>
          <w:numId w:val="1026"/>
        </w:numPr>
      </w:pPr>
      <w:r>
        <w:t xml:space="preserve">risk context</w:t>
      </w:r>
    </w:p>
    <w:p>
      <w:pPr>
        <w:pStyle w:val="Compact"/>
        <w:numPr>
          <w:ilvl w:val="0"/>
          <w:numId w:val="1026"/>
        </w:numPr>
      </w:pPr>
      <w:r>
        <w:t xml:space="preserve">notes</w:t>
      </w:r>
    </w:p>
    <w:p>
      <w:pPr>
        <w:pStyle w:val="Compact"/>
        <w:numPr>
          <w:ilvl w:val="0"/>
          <w:numId w:val="1026"/>
        </w:numPr>
      </w:pPr>
      <w:r>
        <w:t xml:space="preserve">tags</w:t>
      </w:r>
    </w:p>
    <w:p>
      <w:pPr>
        <w:pStyle w:val="Compact"/>
        <w:numPr>
          <w:ilvl w:val="0"/>
          <w:numId w:val="1026"/>
        </w:numPr>
      </w:pPr>
      <w:r>
        <w:t xml:space="preserve">signals</w:t>
      </w:r>
    </w:p>
    <w:p>
      <w:pPr>
        <w:pStyle w:val="Compact"/>
        <w:numPr>
          <w:ilvl w:val="0"/>
          <w:numId w:val="1026"/>
        </w:numPr>
      </w:pPr>
      <w:r>
        <w:t xml:space="preserve">strategy evaluation</w:t>
      </w:r>
    </w:p>
    <w:p>
      <w:pPr>
        <w:pStyle w:val="Compact"/>
        <w:numPr>
          <w:ilvl w:val="0"/>
          <w:numId w:val="1026"/>
        </w:numPr>
      </w:pPr>
      <w:r>
        <w:t xml:space="preserve">decision status</w:t>
      </w:r>
    </w:p>
    <w:p>
      <w:pPr>
        <w:pStyle w:val="FirstParagraph"/>
      </w:pPr>
      <w:r>
        <w:t xml:space="preserve">Decision state shall be persistent and reviewable.</w:t>
      </w:r>
    </w:p>
    <w:p>
      <w:r>
        <w:pict>
          <v:rect style="width:0;height:1.5pt" o:hralign="center" o:hrstd="t" o:hr="t"/>
        </w:pict>
      </w:r>
    </w:p>
    <w:bookmarkEnd w:id="41"/>
    <w:bookmarkStart w:id="42" w:name="signals"/>
    <w:p>
      <w:pPr>
        <w:pStyle w:val="Heading2"/>
      </w:pPr>
      <w:r>
        <w:t xml:space="preserve">Signals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Decision Center</w:t>
      </w:r>
      <w:r>
        <w:t xml:space="preserve"> </w:t>
      </w:r>
      <w:r>
        <w:rPr>
          <w:b/>
          <w:bCs/>
        </w:rPr>
        <w:t xml:space="preserve">Roadmap Phase: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Follow instrument context</w:t>
      </w:r>
    </w:p>
    <w:p>
      <w:pPr>
        <w:pStyle w:val="BodyText"/>
      </w:pPr>
      <w:r>
        <w:t xml:space="preserve">Responsibility:</w:t>
      </w:r>
    </w:p>
    <w:p>
      <w:pPr>
        <w:pStyle w:val="BodyText"/>
      </w:pPr>
      <w:r>
        <w:t xml:space="preserve">Display available deterministic trading signals for the active instrument.</w:t>
      </w:r>
    </w:p>
    <w:p>
      <w:pPr>
        <w:pStyle w:val="BodyText"/>
      </w:pPr>
      <w:r>
        <w:t xml:space="preserve">Signals shall expose:</w:t>
      </w:r>
    </w:p>
    <w:p>
      <w:pPr>
        <w:pStyle w:val="Compact"/>
        <w:numPr>
          <w:ilvl w:val="0"/>
          <w:numId w:val="1027"/>
        </w:numPr>
      </w:pPr>
      <w:r>
        <w:t xml:space="preserve">source</w:t>
      </w:r>
    </w:p>
    <w:p>
      <w:pPr>
        <w:pStyle w:val="Compact"/>
        <w:numPr>
          <w:ilvl w:val="0"/>
          <w:numId w:val="1027"/>
        </w:numPr>
      </w:pPr>
      <w:r>
        <w:t xml:space="preserve">timestamp</w:t>
      </w:r>
    </w:p>
    <w:p>
      <w:pPr>
        <w:pStyle w:val="Compact"/>
        <w:numPr>
          <w:ilvl w:val="0"/>
          <w:numId w:val="1027"/>
        </w:numPr>
      </w:pPr>
      <w:r>
        <w:t xml:space="preserve">state</w:t>
      </w:r>
    </w:p>
    <w:p>
      <w:pPr>
        <w:pStyle w:val="FirstParagraph"/>
      </w:pPr>
      <w:r>
        <w:t xml:space="preserve">Future AI-generated information shall remain distinguishable from deterministic signals.</w:t>
      </w:r>
    </w:p>
    <w:p>
      <w:r>
        <w:pict>
          <v:rect style="width:0;height:1.5pt" o:hralign="center" o:hrstd="t" o:hr="t"/>
        </w:pict>
      </w:r>
    </w:p>
    <w:bookmarkEnd w:id="42"/>
    <w:bookmarkStart w:id="43" w:name="strategy-evaluation"/>
    <w:p>
      <w:pPr>
        <w:pStyle w:val="Heading2"/>
      </w:pPr>
      <w:r>
        <w:t xml:space="preserve">Strategy Evaluation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Decision Center</w:t>
      </w:r>
      <w:r>
        <w:t xml:space="preserve"> </w:t>
      </w:r>
      <w:r>
        <w:rPr>
          <w:b/>
          <w:bCs/>
        </w:rPr>
        <w:t xml:space="preserve">Roadmap Phase: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Follow instrument context</w:t>
      </w:r>
    </w:p>
    <w:p>
      <w:pPr>
        <w:pStyle w:val="BodyText"/>
      </w:pPr>
      <w:r>
        <w:t xml:space="preserve">Responsibility:</w:t>
      </w:r>
    </w:p>
    <w:p>
      <w:pPr>
        <w:pStyle w:val="BodyText"/>
      </w:pPr>
      <w:r>
        <w:t xml:space="preserve">Display available strategy evaluations for the active candidate.</w:t>
      </w:r>
    </w:p>
    <w:p>
      <w:pPr>
        <w:pStyle w:val="BodyText"/>
      </w:pPr>
      <w:r>
        <w:t xml:space="preserve">Strategy evaluation shall not submit orders directly.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phase-8-trading-review-and-analytics"/>
    <w:p>
      <w:pPr>
        <w:pStyle w:val="Heading1"/>
      </w:pPr>
      <w:r>
        <w:t xml:space="preserve">Phase 8 – Trading Review and Analytics</w:t>
      </w:r>
    </w:p>
    <w:bookmarkStart w:id="45" w:name="trading-journal"/>
    <w:p>
      <w:pPr>
        <w:pStyle w:val="Heading2"/>
      </w:pPr>
      <w:r>
        <w:t xml:space="preserve">Trading Journal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Reporting</w:t>
      </w:r>
      <w:r>
        <w:t xml:space="preserve"> </w:t>
      </w:r>
      <w:r>
        <w:rPr>
          <w:b/>
          <w:bCs/>
        </w:rPr>
        <w:t xml:space="preserve">Roadmap Phase: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Publish instrument context</w:t>
      </w:r>
    </w:p>
    <w:p>
      <w:pPr>
        <w:pStyle w:val="BodyText"/>
      </w:pPr>
      <w:r>
        <w:t xml:space="preserve">Responsibility:</w:t>
      </w:r>
    </w:p>
    <w:p>
      <w:pPr>
        <w:pStyle w:val="BodyText"/>
      </w:pPr>
      <w:r>
        <w:t xml:space="preserve">Provide reviewable historical trading records.</w:t>
      </w:r>
    </w:p>
    <w:p>
      <w:pPr>
        <w:pStyle w:val="BodyText"/>
      </w:pPr>
      <w:r>
        <w:t xml:space="preserve">Capabilities:</w:t>
      </w:r>
    </w:p>
    <w:p>
      <w:pPr>
        <w:pStyle w:val="Compact"/>
        <w:numPr>
          <w:ilvl w:val="0"/>
          <w:numId w:val="1028"/>
        </w:numPr>
      </w:pPr>
      <w:r>
        <w:t xml:space="preserve">trade history</w:t>
      </w:r>
    </w:p>
    <w:p>
      <w:pPr>
        <w:pStyle w:val="Compact"/>
        <w:numPr>
          <w:ilvl w:val="0"/>
          <w:numId w:val="1028"/>
        </w:numPr>
      </w:pPr>
      <w:r>
        <w:t xml:space="preserve">decision references</w:t>
      </w:r>
    </w:p>
    <w:p>
      <w:pPr>
        <w:pStyle w:val="Compact"/>
        <w:numPr>
          <w:ilvl w:val="0"/>
          <w:numId w:val="1028"/>
        </w:numPr>
      </w:pPr>
      <w:r>
        <w:t xml:space="preserve">notes</w:t>
      </w:r>
    </w:p>
    <w:p>
      <w:pPr>
        <w:pStyle w:val="Compact"/>
        <w:numPr>
          <w:ilvl w:val="0"/>
          <w:numId w:val="1028"/>
        </w:numPr>
      </w:pPr>
      <w:r>
        <w:t xml:space="preserve">tags</w:t>
      </w:r>
    </w:p>
    <w:p>
      <w:pPr>
        <w:pStyle w:val="Compact"/>
        <w:numPr>
          <w:ilvl w:val="0"/>
          <w:numId w:val="1028"/>
        </w:numPr>
      </w:pPr>
      <w:r>
        <w:t xml:space="preserve">outcome information</w:t>
      </w:r>
    </w:p>
    <w:p>
      <w:r>
        <w:pict>
          <v:rect style="width:0;height:1.5pt" o:hralign="center" o:hrstd="t" o:hr="t"/>
        </w:pict>
      </w:r>
    </w:p>
    <w:bookmarkEnd w:id="45"/>
    <w:bookmarkStart w:id="46" w:name="performance"/>
    <w:p>
      <w:pPr>
        <w:pStyle w:val="Heading2"/>
      </w:pPr>
      <w:r>
        <w:t xml:space="preserve">Performance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Reporting</w:t>
      </w:r>
      <w:r>
        <w:t xml:space="preserve"> </w:t>
      </w:r>
      <w:r>
        <w:rPr>
          <w:b/>
          <w:bCs/>
        </w:rPr>
        <w:t xml:space="preserve">Roadmap Phase: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Context-independent</w:t>
      </w:r>
    </w:p>
    <w:p>
      <w:pPr>
        <w:pStyle w:val="BodyText"/>
      </w:pPr>
      <w:r>
        <w:t xml:space="preserve">Responsibility:</w:t>
      </w:r>
    </w:p>
    <w:p>
      <w:pPr>
        <w:pStyle w:val="BodyText"/>
      </w:pPr>
      <w:r>
        <w:t xml:space="preserve">Display reproducible trading performance information.</w:t>
      </w:r>
    </w:p>
    <w:p>
      <w:r>
        <w:pict>
          <v:rect style="width:0;height:1.5pt" o:hralign="center" o:hrstd="t" o:hr="t"/>
        </w:pict>
      </w:r>
    </w:p>
    <w:bookmarkEnd w:id="46"/>
    <w:bookmarkStart w:id="47" w:name="statistics"/>
    <w:p>
      <w:pPr>
        <w:pStyle w:val="Heading2"/>
      </w:pPr>
      <w:r>
        <w:t xml:space="preserve">Statistics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Reporting</w:t>
      </w:r>
      <w:r>
        <w:t xml:space="preserve"> </w:t>
      </w:r>
      <w:r>
        <w:rPr>
          <w:b/>
          <w:bCs/>
        </w:rPr>
        <w:t xml:space="preserve">Roadmap Phase: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Context-independent</w:t>
      </w:r>
    </w:p>
    <w:p>
      <w:pPr>
        <w:pStyle w:val="BodyText"/>
      </w:pPr>
      <w:r>
        <w:t xml:space="preserve">Responsibility:</w:t>
      </w:r>
    </w:p>
    <w:p>
      <w:pPr>
        <w:pStyle w:val="BodyText"/>
      </w:pPr>
      <w:r>
        <w:t xml:space="preserve">Display statistical trading information derived from recorded trading activity.</w:t>
      </w:r>
    </w:p>
    <w:p>
      <w:r>
        <w:pict>
          <v:rect style="width:0;height:1.5pt" o:hralign="center" o:hrstd="t" o:hr="t"/>
        </w:pict>
      </w:r>
    </w:p>
    <w:bookmarkEnd w:id="47"/>
    <w:bookmarkStart w:id="48" w:name="equity-curve"/>
    <w:p>
      <w:pPr>
        <w:pStyle w:val="Heading2"/>
      </w:pPr>
      <w:r>
        <w:t xml:space="preserve">Equity Curve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Reporting</w:t>
      </w:r>
      <w:r>
        <w:t xml:space="preserve"> </w:t>
      </w:r>
      <w:r>
        <w:rPr>
          <w:b/>
          <w:bCs/>
        </w:rPr>
        <w:t xml:space="preserve">Roadmap Phase: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Context-independent</w:t>
      </w:r>
    </w:p>
    <w:p>
      <w:pPr>
        <w:pStyle w:val="BodyText"/>
      </w:pPr>
      <w:r>
        <w:t xml:space="preserve">Responsibility:</w:t>
      </w:r>
    </w:p>
    <w:p>
      <w:pPr>
        <w:pStyle w:val="BodyText"/>
      </w:pPr>
      <w:r>
        <w:t xml:space="preserve">Display portfolio or trading performance over time.</w:t>
      </w:r>
    </w:p>
    <w:p>
      <w:pPr>
        <w:pStyle w:val="BodyText"/>
      </w:pPr>
      <w:r>
        <w:t xml:space="preserve">The underlying data source and calculation period shall be identifiable.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future-widgets"/>
    <w:p>
      <w:pPr>
        <w:pStyle w:val="Heading1"/>
      </w:pPr>
      <w:r>
        <w:t xml:space="preserve">Future Widgets</w:t>
      </w:r>
    </w:p>
    <w:p>
      <w:pPr>
        <w:pStyle w:val="FirstParagraph"/>
      </w:pPr>
      <w:r>
        <w:t xml:space="preserve">Potential future widgets include:</w:t>
      </w:r>
    </w:p>
    <w:p>
      <w:pPr>
        <w:pStyle w:val="Compact"/>
        <w:numPr>
          <w:ilvl w:val="0"/>
          <w:numId w:val="1029"/>
        </w:numPr>
      </w:pPr>
      <w:r>
        <w:t xml:space="preserve">Options Chain</w:t>
      </w:r>
    </w:p>
    <w:p>
      <w:pPr>
        <w:pStyle w:val="Compact"/>
        <w:numPr>
          <w:ilvl w:val="0"/>
          <w:numId w:val="1029"/>
        </w:numPr>
      </w:pPr>
      <w:r>
        <w:t xml:space="preserve">Market Breadth</w:t>
      </w:r>
    </w:p>
    <w:p>
      <w:pPr>
        <w:pStyle w:val="Compact"/>
        <w:numPr>
          <w:ilvl w:val="0"/>
          <w:numId w:val="1029"/>
        </w:numPr>
      </w:pPr>
      <w:r>
        <w:t xml:space="preserve">Sector Performance</w:t>
      </w:r>
    </w:p>
    <w:p>
      <w:pPr>
        <w:pStyle w:val="Compact"/>
        <w:numPr>
          <w:ilvl w:val="0"/>
          <w:numId w:val="1029"/>
        </w:numPr>
      </w:pPr>
      <w:r>
        <w:t xml:space="preserve">Heat Map</w:t>
      </w:r>
    </w:p>
    <w:p>
      <w:pPr>
        <w:pStyle w:val="Compact"/>
        <w:numPr>
          <w:ilvl w:val="0"/>
          <w:numId w:val="1029"/>
        </w:numPr>
      </w:pPr>
      <w:r>
        <w:t xml:space="preserve">Economic Calendar</w:t>
      </w:r>
    </w:p>
    <w:p>
      <w:pPr>
        <w:pStyle w:val="Compact"/>
        <w:numPr>
          <w:ilvl w:val="0"/>
          <w:numId w:val="1029"/>
        </w:numPr>
      </w:pPr>
      <w:r>
        <w:t xml:space="preserve">Advanced Chart</w:t>
      </w:r>
    </w:p>
    <w:p>
      <w:pPr>
        <w:pStyle w:val="Compact"/>
        <w:numPr>
          <w:ilvl w:val="0"/>
          <w:numId w:val="1029"/>
        </w:numPr>
      </w:pPr>
      <w:r>
        <w:t xml:space="preserve">Greeks</w:t>
      </w:r>
    </w:p>
    <w:p>
      <w:pPr>
        <w:pStyle w:val="Compact"/>
        <w:numPr>
          <w:ilvl w:val="0"/>
          <w:numId w:val="1029"/>
        </w:numPr>
      </w:pPr>
      <w:r>
        <w:t xml:space="preserve">Strategy Builder</w:t>
      </w:r>
    </w:p>
    <w:p>
      <w:pPr>
        <w:pStyle w:val="Compact"/>
        <w:numPr>
          <w:ilvl w:val="0"/>
          <w:numId w:val="1029"/>
        </w:numPr>
      </w:pPr>
      <w:r>
        <w:t xml:space="preserve">Backtesting</w:t>
      </w:r>
    </w:p>
    <w:p>
      <w:pPr>
        <w:pStyle w:val="Compact"/>
        <w:numPr>
          <w:ilvl w:val="0"/>
          <w:numId w:val="1029"/>
        </w:numPr>
      </w:pPr>
      <w:r>
        <w:t xml:space="preserve">Plugin Widgets</w:t>
      </w:r>
    </w:p>
    <w:p>
      <w:pPr>
        <w:pStyle w:val="Compact"/>
        <w:numPr>
          <w:ilvl w:val="0"/>
          <w:numId w:val="1029"/>
        </w:numPr>
      </w:pPr>
      <w:r>
        <w:t xml:space="preserve">AI Assistant</w:t>
      </w:r>
    </w:p>
    <w:p>
      <w:pPr>
        <w:pStyle w:val="Compact"/>
        <w:numPr>
          <w:ilvl w:val="0"/>
          <w:numId w:val="1029"/>
        </w:numPr>
      </w:pPr>
      <w:r>
        <w:t xml:space="preserve">News Feed</w:t>
      </w:r>
    </w:p>
    <w:p>
      <w:pPr>
        <w:pStyle w:val="FirstParagraph"/>
      </w:pPr>
      <w:r>
        <w:t xml:space="preserve">Future widgets require:</w:t>
      </w:r>
    </w:p>
    <w:p>
      <w:pPr>
        <w:pStyle w:val="Compact"/>
        <w:numPr>
          <w:ilvl w:val="0"/>
          <w:numId w:val="1030"/>
        </w:numPr>
      </w:pPr>
      <w:r>
        <w:t xml:space="preserve">defined user problem</w:t>
      </w:r>
    </w:p>
    <w:p>
      <w:pPr>
        <w:pStyle w:val="Compact"/>
        <w:numPr>
          <w:ilvl w:val="0"/>
          <w:numId w:val="1030"/>
        </w:numPr>
      </w:pPr>
      <w:r>
        <w:t xml:space="preserve">defined trading workflow</w:t>
      </w:r>
    </w:p>
    <w:p>
      <w:pPr>
        <w:pStyle w:val="Compact"/>
        <w:numPr>
          <w:ilvl w:val="0"/>
          <w:numId w:val="1030"/>
        </w:numPr>
      </w:pPr>
      <w:r>
        <w:t xml:space="preserve">product roadmap alignment</w:t>
      </w:r>
    </w:p>
    <w:p>
      <w:pPr>
        <w:pStyle w:val="Compact"/>
        <w:numPr>
          <w:ilvl w:val="0"/>
          <w:numId w:val="1030"/>
        </w:numPr>
      </w:pPr>
      <w:r>
        <w:t xml:space="preserve">architecture review where required</w:t>
      </w:r>
    </w:p>
    <w:p>
      <w:r>
        <w:pict>
          <v:rect style="width:0;height:1.5pt" o:hralign="center" o:hrstd="t" o:hr="t"/>
        </w:pict>
      </w:r>
    </w:p>
    <w:bookmarkEnd w:id="50"/>
    <w:bookmarkStart w:id="51" w:name="widget-state-requirements"/>
    <w:p>
      <w:pPr>
        <w:pStyle w:val="Heading1"/>
      </w:pPr>
      <w:r>
        <w:t xml:space="preserve">Widget State Requirements</w:t>
      </w:r>
    </w:p>
    <w:p>
      <w:pPr>
        <w:pStyle w:val="FirstParagraph"/>
      </w:pPr>
      <w:r>
        <w:t xml:space="preserve">Persistent widget state may include:</w:t>
      </w:r>
    </w:p>
    <w:p>
      <w:pPr>
        <w:pStyle w:val="Compact"/>
        <w:numPr>
          <w:ilvl w:val="0"/>
          <w:numId w:val="1031"/>
        </w:numPr>
      </w:pPr>
      <w:r>
        <w:t xml:space="preserve">size</w:t>
      </w:r>
    </w:p>
    <w:p>
      <w:pPr>
        <w:pStyle w:val="Compact"/>
        <w:numPr>
          <w:ilvl w:val="0"/>
          <w:numId w:val="1031"/>
        </w:numPr>
      </w:pPr>
      <w:r>
        <w:t xml:space="preserve">docking position</w:t>
      </w:r>
    </w:p>
    <w:p>
      <w:pPr>
        <w:pStyle w:val="Compact"/>
        <w:numPr>
          <w:ilvl w:val="0"/>
          <w:numId w:val="1031"/>
        </w:numPr>
      </w:pPr>
      <w:r>
        <w:t xml:space="preserve">visibility</w:t>
      </w:r>
    </w:p>
    <w:p>
      <w:pPr>
        <w:pStyle w:val="Compact"/>
        <w:numPr>
          <w:ilvl w:val="0"/>
          <w:numId w:val="1031"/>
        </w:numPr>
      </w:pPr>
      <w:r>
        <w:t xml:space="preserve">widget-specific settings</w:t>
      </w:r>
    </w:p>
    <w:p>
      <w:pPr>
        <w:pStyle w:val="Compact"/>
        <w:numPr>
          <w:ilvl w:val="0"/>
          <w:numId w:val="1031"/>
        </w:numPr>
      </w:pPr>
      <w:r>
        <w:t xml:space="preserve">selected view</w:t>
      </w:r>
    </w:p>
    <w:p>
      <w:pPr>
        <w:pStyle w:val="Compact"/>
        <w:numPr>
          <w:ilvl w:val="0"/>
          <w:numId w:val="1031"/>
        </w:numPr>
      </w:pPr>
      <w:r>
        <w:t xml:space="preserve">filter state</w:t>
      </w:r>
    </w:p>
    <w:p>
      <w:pPr>
        <w:pStyle w:val="Compact"/>
        <w:numPr>
          <w:ilvl w:val="0"/>
          <w:numId w:val="1031"/>
        </w:numPr>
      </w:pPr>
      <w:r>
        <w:t xml:space="preserve">sorting state</w:t>
      </w:r>
    </w:p>
    <w:p>
      <w:pPr>
        <w:pStyle w:val="FirstParagraph"/>
      </w:pPr>
      <w:r>
        <w:t xml:space="preserve">Business data shall not be stored as widget layout state.</w:t>
      </w:r>
    </w:p>
    <w:p>
      <w:pPr>
        <w:pStyle w:val="BodyText"/>
      </w:pPr>
      <w:r>
        <w:t xml:space="preserve">Workspace state and business persistence shall remain separate.</w:t>
      </w:r>
    </w:p>
    <w:p>
      <w:r>
        <w:pict>
          <v:rect style="width:0;height:1.5pt" o:hralign="center" o:hrstd="t" o:hr="t"/>
        </w:pict>
      </w:r>
    </w:p>
    <w:bookmarkEnd w:id="51"/>
    <w:bookmarkStart w:id="52" w:name="widget-error-states"/>
    <w:p>
      <w:pPr>
        <w:pStyle w:val="Heading1"/>
      </w:pPr>
      <w:r>
        <w:t xml:space="preserve">Widget Error States</w:t>
      </w:r>
    </w:p>
    <w:p>
      <w:pPr>
        <w:pStyle w:val="FirstParagraph"/>
      </w:pPr>
      <w:r>
        <w:t xml:space="preserve">Widgets shall explicitly represent:</w:t>
      </w:r>
    </w:p>
    <w:p>
      <w:pPr>
        <w:pStyle w:val="Compact"/>
        <w:numPr>
          <w:ilvl w:val="0"/>
          <w:numId w:val="1032"/>
        </w:numPr>
      </w:pPr>
      <w:r>
        <w:t xml:space="preserve">loading</w:t>
      </w:r>
    </w:p>
    <w:p>
      <w:pPr>
        <w:pStyle w:val="Compact"/>
        <w:numPr>
          <w:ilvl w:val="0"/>
          <w:numId w:val="1032"/>
        </w:numPr>
      </w:pPr>
      <w:r>
        <w:t xml:space="preserve">ready</w:t>
      </w:r>
    </w:p>
    <w:p>
      <w:pPr>
        <w:pStyle w:val="Compact"/>
        <w:numPr>
          <w:ilvl w:val="0"/>
          <w:numId w:val="1032"/>
        </w:numPr>
      </w:pPr>
      <w:r>
        <w:t xml:space="preserve">stale</w:t>
      </w:r>
    </w:p>
    <w:p>
      <w:pPr>
        <w:pStyle w:val="Compact"/>
        <w:numPr>
          <w:ilvl w:val="0"/>
          <w:numId w:val="1032"/>
        </w:numPr>
      </w:pPr>
      <w:r>
        <w:t xml:space="preserve">unavailable</w:t>
      </w:r>
    </w:p>
    <w:p>
      <w:pPr>
        <w:pStyle w:val="Compact"/>
        <w:numPr>
          <w:ilvl w:val="0"/>
          <w:numId w:val="1032"/>
        </w:numPr>
      </w:pPr>
      <w:r>
        <w:t xml:space="preserve">disconnected</w:t>
      </w:r>
    </w:p>
    <w:p>
      <w:pPr>
        <w:pStyle w:val="Compact"/>
        <w:numPr>
          <w:ilvl w:val="0"/>
          <w:numId w:val="1032"/>
        </w:numPr>
      </w:pPr>
      <w:r>
        <w:t xml:space="preserve">error</w:t>
      </w:r>
    </w:p>
    <w:p>
      <w:pPr>
        <w:pStyle w:val="FirstParagraph"/>
      </w:pPr>
      <w:r>
        <w:t xml:space="preserve">Widgets shall not silently display outdated information as current information.</w:t>
      </w:r>
    </w:p>
    <w:p>
      <w:r>
        <w:pict>
          <v:rect style="width:0;height:1.5pt" o:hralign="center" o:hrstd="t" o:hr="t"/>
        </w:pict>
      </w:r>
    </w:p>
    <w:bookmarkEnd w:id="52"/>
    <w:bookmarkStart w:id="53" w:name="widget-review-checklist"/>
    <w:p>
      <w:pPr>
        <w:pStyle w:val="Heading1"/>
      </w:pPr>
      <w:r>
        <w:t xml:space="preserve">Widget Review Checklist</w:t>
      </w:r>
    </w:p>
    <w:p>
      <w:pPr>
        <w:pStyle w:val="FirstParagraph"/>
      </w:pPr>
      <w:r>
        <w:t xml:space="preserve">Before introducing or changing a widget verify:</w:t>
      </w:r>
    </w:p>
    <w:p>
      <w:pPr>
        <w:pStyle w:val="Compact"/>
        <w:numPr>
          <w:ilvl w:val="0"/>
          <w:numId w:val="1033"/>
        </w:numPr>
      </w:pPr>
      <w:r>
        <w:t xml:space="preserve">primary responsibility defined</w:t>
      </w:r>
    </w:p>
    <w:p>
      <w:pPr>
        <w:pStyle w:val="Compact"/>
        <w:numPr>
          <w:ilvl w:val="0"/>
          <w:numId w:val="1033"/>
        </w:numPr>
      </w:pPr>
      <w:r>
        <w:t xml:space="preserve">trading workflow identified</w:t>
      </w:r>
    </w:p>
    <w:p>
      <w:pPr>
        <w:pStyle w:val="Compact"/>
        <w:numPr>
          <w:ilvl w:val="0"/>
          <w:numId w:val="1033"/>
        </w:numPr>
      </w:pPr>
      <w:r>
        <w:t xml:space="preserve">roadmap phase identified</w:t>
      </w:r>
    </w:p>
    <w:p>
      <w:pPr>
        <w:pStyle w:val="Compact"/>
        <w:numPr>
          <w:ilvl w:val="0"/>
          <w:numId w:val="1033"/>
        </w:numPr>
      </w:pPr>
      <w:r>
        <w:t xml:space="preserve">shared context behaviour defined</w:t>
      </w:r>
    </w:p>
    <w:p>
      <w:pPr>
        <w:pStyle w:val="Compact"/>
        <w:numPr>
          <w:ilvl w:val="0"/>
          <w:numId w:val="1033"/>
        </w:numPr>
      </w:pPr>
      <w:r>
        <w:t xml:space="preserve">dependencies explicit</w:t>
      </w:r>
    </w:p>
    <w:p>
      <w:pPr>
        <w:pStyle w:val="Compact"/>
        <w:numPr>
          <w:ilvl w:val="0"/>
          <w:numId w:val="1033"/>
        </w:numPr>
      </w:pPr>
      <w:r>
        <w:t xml:space="preserve">loading state defined</w:t>
      </w:r>
    </w:p>
    <w:p>
      <w:pPr>
        <w:pStyle w:val="Compact"/>
        <w:numPr>
          <w:ilvl w:val="0"/>
          <w:numId w:val="1033"/>
        </w:numPr>
      </w:pPr>
      <w:r>
        <w:t xml:space="preserve">error state defined</w:t>
      </w:r>
    </w:p>
    <w:p>
      <w:pPr>
        <w:pStyle w:val="Compact"/>
        <w:numPr>
          <w:ilvl w:val="0"/>
          <w:numId w:val="1033"/>
        </w:numPr>
      </w:pPr>
      <w:r>
        <w:t xml:space="preserve">stale data behaviour defined where relevant</w:t>
      </w:r>
    </w:p>
    <w:p>
      <w:pPr>
        <w:pStyle w:val="Compact"/>
        <w:numPr>
          <w:ilvl w:val="0"/>
          <w:numId w:val="1033"/>
        </w:numPr>
      </w:pPr>
      <w:r>
        <w:t xml:space="preserve">persistence requirements defined</w:t>
      </w:r>
    </w:p>
    <w:p>
      <w:pPr>
        <w:pStyle w:val="Compact"/>
        <w:numPr>
          <w:ilvl w:val="0"/>
          <w:numId w:val="1033"/>
        </w:numPr>
      </w:pPr>
      <w:r>
        <w:t xml:space="preserve">business logic remains outside presentation</w:t>
      </w:r>
    </w:p>
    <w:p>
      <w:pPr>
        <w:pStyle w:val="Compact"/>
        <w:numPr>
          <w:ilvl w:val="0"/>
          <w:numId w:val="1033"/>
        </w:numPr>
      </w:pPr>
      <w:r>
        <w:t xml:space="preserve">automated tests added where practical</w:t>
      </w:r>
    </w:p>
    <w:p>
      <w:pPr>
        <w:pStyle w:val="Compact"/>
        <w:numPr>
          <w:ilvl w:val="0"/>
          <w:numId w:val="1033"/>
        </w:numPr>
      </w:pPr>
      <w:r>
        <w:t xml:space="preserve">documentation updated</w:t>
      </w:r>
    </w:p>
    <w:p>
      <w:r>
        <w:pict>
          <v:rect style="width:0;height:1.5pt" o:hralign="center" o:hrstd="t" o:hr="t"/>
        </w:pict>
      </w:r>
    </w:p>
    <w:bookmarkEnd w:id="53"/>
    <w:bookmarkStart w:id="54" w:name="related-documents"/>
    <w:p>
      <w:pPr>
        <w:pStyle w:val="Heading1"/>
      </w:pPr>
      <w:r>
        <w:t xml:space="preserve">Related Documents</w:t>
      </w:r>
    </w:p>
    <w:p>
      <w:pPr>
        <w:pStyle w:val="Compact"/>
        <w:numPr>
          <w:ilvl w:val="0"/>
          <w:numId w:val="1034"/>
        </w:numPr>
      </w:pPr>
      <w:r>
        <w:t xml:space="preserve">Product_Vision.md</w:t>
      </w:r>
    </w:p>
    <w:p>
      <w:pPr>
        <w:pStyle w:val="Compact"/>
        <w:numPr>
          <w:ilvl w:val="0"/>
          <w:numId w:val="1034"/>
        </w:numPr>
      </w:pPr>
      <w:r>
        <w:t xml:space="preserve">Product_Roadmap.md</w:t>
      </w:r>
    </w:p>
    <w:p>
      <w:pPr>
        <w:pStyle w:val="Compact"/>
        <w:numPr>
          <w:ilvl w:val="0"/>
          <w:numId w:val="1034"/>
        </w:numPr>
      </w:pPr>
      <w:r>
        <w:t xml:space="preserve">Project_Overview.md</w:t>
      </w:r>
    </w:p>
    <w:p>
      <w:pPr>
        <w:pStyle w:val="Compact"/>
        <w:numPr>
          <w:ilvl w:val="0"/>
          <w:numId w:val="1034"/>
        </w:numPr>
      </w:pPr>
      <w:r>
        <w:t xml:space="preserve">Technical_Specifications.md</w:t>
      </w:r>
    </w:p>
    <w:p>
      <w:pPr>
        <w:pStyle w:val="Compact"/>
        <w:numPr>
          <w:ilvl w:val="0"/>
          <w:numId w:val="1034"/>
        </w:numPr>
      </w:pPr>
      <w:r>
        <w:t xml:space="preserve">Architecture.md</w:t>
      </w:r>
    </w:p>
    <w:p>
      <w:pPr>
        <w:pStyle w:val="Compact"/>
        <w:numPr>
          <w:ilvl w:val="0"/>
          <w:numId w:val="1034"/>
        </w:numPr>
      </w:pPr>
      <w:r>
        <w:t xml:space="preserve">Domain_Model.md</w:t>
      </w:r>
    </w:p>
    <w:p>
      <w:pPr>
        <w:pStyle w:val="Compact"/>
        <w:numPr>
          <w:ilvl w:val="0"/>
          <w:numId w:val="1034"/>
        </w:numPr>
      </w:pPr>
      <w:r>
        <w:t xml:space="preserve">UI_Guidelines.md</w:t>
      </w:r>
    </w:p>
    <w:p>
      <w:pPr>
        <w:pStyle w:val="Compact"/>
        <w:numPr>
          <w:ilvl w:val="0"/>
          <w:numId w:val="1034"/>
        </w:numPr>
      </w:pPr>
      <w:r>
        <w:t xml:space="preserve">API_Guidelines.md</w:t>
      </w:r>
    </w:p>
    <w:p>
      <w:pPr>
        <w:pStyle w:val="Compact"/>
        <w:numPr>
          <w:ilvl w:val="0"/>
          <w:numId w:val="1034"/>
        </w:numPr>
      </w:pPr>
      <w:r>
        <w:t xml:space="preserve">Testing_Strategy.md</w:t>
      </w:r>
    </w:p>
    <w:p>
      <w:pPr>
        <w:pStyle w:val="Compact"/>
        <w:numPr>
          <w:ilvl w:val="0"/>
          <w:numId w:val="1034"/>
        </w:numPr>
      </w:pPr>
      <w:r>
        <w:t xml:space="preserve">AGENTS.md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2026-07-06T17:14:03Z</dcterms:created>
  <dcterms:modified xsi:type="dcterms:W3CDTF">2026-07-06T17:14:03Z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